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jpeg" ContentType="image/jpeg"/>
  <Override PartName="/word/media/image9.png" ContentType="image/png"/>
  <Override PartName="/word/media/image8.png" ContentType="image/png"/>
  <Override PartName="/word/media/image7.jpeg" ContentType="image/jpeg"/>
  <Override PartName="/word/media/image6.png" ContentType="image/png"/>
  <Override PartName="/word/media/image5.jpeg" ContentType="image/jpeg"/>
  <Override PartName="/word/media/image4.png" ContentType="image/pn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640"/>
        <w:gridCol w:w="2480"/>
        <w:gridCol w:w="2260"/>
        <w:gridCol w:w="30"/>
      </w:tblGrid>
      <w:tr>
        <w:trPr>
          <w:trHeight w:val="244" w:hRule="atLeast"/>
        </w:trPr>
        <w:tc>
          <w:tcPr>
            <w:tcW w:w="6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age1"/>
            <w:bookmarkStart w:id="1" w:name="page1"/>
            <w:bookmarkEnd w:id="1"/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61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26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OB OPENING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–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REQUISITION FORM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right="124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8"/>
                <w:sz w:val="20"/>
                <w:szCs w:val="20"/>
              </w:rPr>
              <w:t>23.04.2017</w:t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4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Heads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2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32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32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Name of Employer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32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Hapag-Lloyd India Pvt Ltd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Nature of Business</w:t>
            </w:r>
          </w:p>
        </w:tc>
        <w:tc>
          <w:tcPr>
            <w:tcW w:w="2480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Shipping Agent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5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  <w:tc>
          <w:tcPr>
            <w:tcW w:w="248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169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Postal Address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Hapag-Lloyd India Pvt. Ltd.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Satellite Gazebo, 403-404, A wing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Guru Hargovindji Marg, Chakala, Andheri (East)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2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Mumbai - 400 093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740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27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7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7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Tele., E-mail &amp; Website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7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022- 67812700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Style w:val="InternetLink"/>
                  <w:rFonts w:eastAsia="Calibri" w:cs="Calibri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Style w:val="InternetLink"/>
                  <w:rFonts w:cs="Calibri"/>
                  <w:sz w:val="20"/>
                  <w:szCs w:val="20"/>
                  <w:u w:val="single"/>
                </w:rPr>
                <w:t>https://www.hapag-lloyd.com/en/home.htm</w:t>
              </w:r>
            </w:hyperlink>
            <w:r>
              <w:rPr>
                <w:rFonts w:cs="Calibri"/>
                <w:sz w:val="20"/>
                <w:szCs w:val="20"/>
                <w:u w:val="single"/>
              </w:rPr>
              <w:t>l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Contact person’s name, designation, Tele.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Priyanka Mungekar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2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No. &amp; e-mail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2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HR Specialist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43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HR SpecialistPriyanka.Mungekar@hlag.com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Vacancy description :</w:t>
            </w:r>
          </w:p>
        </w:tc>
        <w:tc>
          <w:tcPr>
            <w:tcW w:w="24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474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.1 Position including nature of work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w w:val="98"/>
                <w:sz w:val="20"/>
                <w:szCs w:val="20"/>
              </w:rPr>
              <w:t>Senior Manager - Operations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74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.2 Number of vacancies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 Position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.3 Approx. monthly compensation &amp;</w:t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As per company Norms and Management Decision.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other benefits</w:t>
            </w:r>
          </w:p>
        </w:tc>
        <w:tc>
          <w:tcPr>
            <w:tcW w:w="474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Candidates EXP CTC – Max 22 Lakhs Per Annum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27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7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.4 Location of Employment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7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Chennai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6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64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.5 Any other details</w:t>
            </w:r>
          </w:p>
        </w:tc>
        <w:tc>
          <w:tcPr>
            <w:tcW w:w="248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4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Job Description enclosed</w:t>
            </w:r>
          </w:p>
        </w:tc>
        <w:tc>
          <w:tcPr>
            <w:tcW w:w="22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472" w:hRule="atLeast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</w:tbl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35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1420" w:header="0" w:top="267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spacing w:lineRule="auto" w:line="2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0"/>
          <w:szCs w:val="20"/>
        </w:rPr>
        <w:t>********************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5359400</wp:posOffset>
            </wp:positionH>
            <wp:positionV relativeFrom="page">
              <wp:posOffset>542290</wp:posOffset>
            </wp:positionV>
            <wp:extent cx="1564640" cy="25654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" t="-61" r="-10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24"/>
          <w:szCs w:val="24"/>
        </w:rPr>
        <w:t>R</w:t>
      </w:r>
      <w:r>
        <w:rPr>
          <w:rFonts w:cs="Arial" w:ascii="Arial" w:hAnsi="Arial"/>
          <w:b/>
          <w:bCs/>
          <w:sz w:val="24"/>
          <w:szCs w:val="24"/>
        </w:rPr>
        <w:t>ole Description:</w:t>
      </w:r>
    </w:p>
    <w:p>
      <w:pPr>
        <w:pStyle w:val="Normal"/>
        <w:widowControl w:val="false"/>
        <w:autoSpaceDE w:val="false"/>
        <w:spacing w:lineRule="exact" w:line="26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30" w:type="dxa"/>
        <w:jc w:val="left"/>
        <w:tblInd w:w="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520"/>
        <w:gridCol w:w="3520"/>
        <w:gridCol w:w="1960"/>
        <w:gridCol w:w="30"/>
      </w:tblGrid>
      <w:tr>
        <w:trPr>
          <w:trHeight w:val="352" w:hRule="atLeast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POSITION TITLE (and level):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353" w:hRule="atLeast"/>
        </w:trPr>
        <w:tc>
          <w:tcPr>
            <w:tcW w:w="4520" w:type="dxa"/>
            <w:vMerge w:val="restart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SENIOR OPERATIONS  MANAGER</w:t>
            </w:r>
          </w:p>
        </w:tc>
        <w:tc>
          <w:tcPr>
            <w:tcW w:w="352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OPERATIONS</w:t>
            </w:r>
          </w:p>
        </w:tc>
        <w:tc>
          <w:tcPr>
            <w:tcW w:w="19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229" w:before="0" w:after="0"/>
              <w:ind w:left="10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CHENNAI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10" w:hRule="atLeast"/>
        </w:trPr>
        <w:tc>
          <w:tcPr>
            <w:tcW w:w="4520" w:type="dxa"/>
            <w:vMerge w:val="continue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cs="Times New Roman" w:ascii="Times New Roman" w:hAnsi="Times New Roman"/>
                <w:sz w:val="9"/>
                <w:szCs w:val="9"/>
              </w:rPr>
            </w:r>
          </w:p>
        </w:tc>
        <w:tc>
          <w:tcPr>
            <w:tcW w:w="352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cs="Times New Roman" w:ascii="Times New Roman" w:hAnsi="Times New Roman"/>
                <w:sz w:val="9"/>
                <w:szCs w:val="9"/>
              </w:rPr>
            </w:r>
          </w:p>
        </w:tc>
        <w:tc>
          <w:tcPr>
            <w:tcW w:w="196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cs="Times New Roman"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356" w:hRule="atLeast"/>
        </w:trPr>
        <w:tc>
          <w:tcPr>
            <w:tcW w:w="45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</w:tbl>
    <w:p>
      <w:pPr>
        <w:pStyle w:val="Normal"/>
        <w:widowControl w:val="false"/>
        <w:autoSpaceDE w:val="false"/>
        <w:spacing w:lineRule="exact" w:line="24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10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</w:rPr>
        <w:t>1.  Main Objectives of this position:</w:t>
      </w:r>
    </w:p>
    <w:p>
      <w:pPr>
        <w:pStyle w:val="Normal"/>
        <w:widowControl w:val="false"/>
        <w:autoSpaceDE w:val="false"/>
        <w:spacing w:lineRule="exact" w:line="359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6344285" cy="5270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30" r="-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overflowPunct w:val="false"/>
        <w:autoSpaceDE w:val="false"/>
        <w:spacing w:lineRule="auto" w:line="223" w:before="0" w:after="0"/>
        <w:ind w:left="120" w:righ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The main purpose of the position is to manage the Operations Department. The job descriptions vary considerably and the role required has emphasis on following aspects: Operations, Commercial &amp; Legal activities through.</w:t>
      </w:r>
    </w:p>
    <w:p>
      <w:pPr>
        <w:pStyle w:val="Normal"/>
        <w:widowControl w:val="false"/>
        <w:autoSpaceDE w:val="false"/>
        <w:spacing w:lineRule="exact" w:line="38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34428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6pt" to="499.45pt,0.6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autoSpaceDE w:val="false"/>
        <w:spacing w:lineRule="auto" w:line="237" w:before="0" w:after="0"/>
        <w:ind w:left="10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</w:rPr>
        <w:t>2.  Function and duties: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12065</wp:posOffset>
            </wp:positionH>
            <wp:positionV relativeFrom="paragraph">
              <wp:posOffset>165100</wp:posOffset>
            </wp:positionV>
            <wp:extent cx="6332220" cy="6293485"/>
            <wp:effectExtent l="0" t="0" r="0" b="0"/>
            <wp:wrapNone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exact" w:line="3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16" w:before="0" w:after="0"/>
        <w:ind w:left="140" w:righ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Operations Management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with main objective of cost control / saving, prevent operational loss thereby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contributing towards our organization’s profits –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2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Efficiently plan and manage all vessels to ensure optimum use of allocation, smooth berthing and faster turn-around of the vessel.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Manage vessel &amp; Port operations – maintain good liaison / communication with vessel planners,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overflowPunct w:val="false"/>
        <w:autoSpaceDE w:val="false"/>
        <w:spacing w:lineRule="auto" w:line="220" w:before="0" w:after="0"/>
        <w:ind w:left="860" w:hanging="0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20"/>
          <w:szCs w:val="20"/>
        </w:rPr>
        <w:t xml:space="preserve">Terminal operators, feeder’s and partner operator’s. Ensure team liaison also. </w:t>
      </w:r>
    </w:p>
    <w:p>
      <w:pPr>
        <w:pStyle w:val="Normal"/>
        <w:widowControl w:val="false"/>
        <w:autoSpaceDE w:val="false"/>
        <w:spacing w:lineRule="exact" w:line="44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2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Supervise &amp; ensure timely submission of load/discharge files to port &amp; customs in compliance with local requirements and HL guidelines to avoid any fines / penalties.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Ensure quick trans-shipment to feeder destinations. </w:t>
      </w:r>
    </w:p>
    <w:p>
      <w:pPr>
        <w:pStyle w:val="Normal"/>
        <w:widowControl w:val="false"/>
        <w:autoSpaceDE w:val="false"/>
        <w:spacing w:lineRule="exact" w:line="42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4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Attend to damages of laden and empty equipments and take appropriate operational measures to resolve the problem in order to avoid or reduce loss.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Wingdings" w:ascii="Wingdings" w:hAnsi="Wingdings"/>
          <w:sz w:val="32"/>
          <w:szCs w:val="32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20" w:hanging="368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Arial" w:ascii="Arial" w:hAnsi="Arial"/>
          <w:sz w:val="19"/>
          <w:szCs w:val="19"/>
        </w:rPr>
        <w:t xml:space="preserve">Equipment Management &amp; Steering – plan and steer the equipment as per HL guidelines to minimize any storage costs, monitor equipment turn-around time and initiate timely &amp; appropriate measures for clearance of the same as well as ensure cost-recoveries as applicable. </w:t>
      </w:r>
    </w:p>
    <w:p>
      <w:pPr>
        <w:pStyle w:val="Normal"/>
        <w:widowControl w:val="false"/>
        <w:autoSpaceDE w:val="false"/>
        <w:spacing w:lineRule="exact" w:line="47" w:before="0" w:after="0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Wingdings" w:ascii="Wingdings" w:hAnsi="Wingdings"/>
          <w:sz w:val="38"/>
          <w:szCs w:val="38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60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Monitor import pendency at ports and provide alternate solutions to mitigate/eliminate delays and ensure all additional costs are recovered.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Handle hazmat operations.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235" w:before="0" w:after="0"/>
        <w:ind w:left="860" w:right="120" w:hanging="368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Arial" w:ascii="Arial" w:hAnsi="Arial"/>
          <w:sz w:val="19"/>
          <w:szCs w:val="19"/>
        </w:rPr>
        <w:t xml:space="preserve">Prepare break bulk costing &amp; quotations and handle discharge / loading operations / delivery of the cargo. </w:t>
      </w:r>
    </w:p>
    <w:p>
      <w:pPr>
        <w:pStyle w:val="Normal"/>
        <w:widowControl w:val="false"/>
        <w:autoSpaceDE w:val="false"/>
        <w:spacing w:lineRule="exact" w:line="1" w:before="0" w:after="0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Wingdings" w:ascii="Wingdings" w:hAnsi="Wingdings"/>
          <w:sz w:val="38"/>
          <w:szCs w:val="38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Provide costing for shipments under carrier’s haulage / add-on services for door-delivery.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Transport Exception management. </w:t>
      </w:r>
    </w:p>
    <w:p>
      <w:pPr>
        <w:pStyle w:val="Normal"/>
        <w:widowControl w:val="false"/>
        <w:autoSpaceDE w:val="false"/>
        <w:spacing w:lineRule="exact" w:line="43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2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Liaise with port authorities for day-to-day operations, smooth berthing &amp; completion of the vessels, billing audits &amp; re-negotiate for cost reduction for one-of occurrences.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Wingdings" w:ascii="Wingdings" w:hAnsi="Wingdings"/>
          <w:sz w:val="32"/>
          <w:szCs w:val="32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235" w:before="0" w:after="0"/>
        <w:ind w:left="860" w:right="120" w:hanging="368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Arial" w:ascii="Arial" w:hAnsi="Arial"/>
          <w:sz w:val="19"/>
          <w:szCs w:val="19"/>
        </w:rPr>
        <w:t xml:space="preserve">Develop road transport, surveyor and other operational vendors &amp; finalize commercial contracts with them. </w:t>
      </w:r>
    </w:p>
    <w:p>
      <w:pPr>
        <w:pStyle w:val="Normal"/>
        <w:widowControl w:val="false"/>
        <w:autoSpaceDE w:val="false"/>
        <w:spacing w:lineRule="exact" w:line="46" w:before="0" w:after="0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Wingdings" w:ascii="Wingdings" w:hAnsi="Wingdings"/>
          <w:sz w:val="38"/>
          <w:szCs w:val="38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22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Monitor any tariff increase by Govt. bodies and implement the same along with recovery measures in consultation with Sr. Management.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Initiate cost-saving &amp; revenue measures, as and when possible,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0" w:before="0" w:after="0"/>
        <w:ind w:left="860" w:right="120" w:hanging="368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Arial" w:ascii="Arial" w:hAnsi="Arial"/>
          <w:sz w:val="19"/>
          <w:szCs w:val="19"/>
        </w:rPr>
        <w:t xml:space="preserve">Liaise with vendors, other locations / areas / regions and Govt. Authorities including Port &amp; Customs, Courts, Chamber of Commerce, Federal Authorities like FANR etc. for Operational, Regulatory &amp; Policy matters/approvals in all relevant territories and countries, as necessary. </w:t>
      </w:r>
    </w:p>
    <w:p>
      <w:pPr>
        <w:pStyle w:val="Normal"/>
        <w:widowControl w:val="false"/>
        <w:autoSpaceDE w:val="false"/>
        <w:spacing w:lineRule="exact" w:line="16" w:before="0" w:after="0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cs="Wingdings" w:ascii="Wingdings" w:hAnsi="Wingdings"/>
          <w:sz w:val="38"/>
          <w:szCs w:val="38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237" w:before="0" w:after="0"/>
        <w:ind w:left="86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cs="Arial" w:ascii="Arial" w:hAnsi="Arial"/>
          <w:sz w:val="20"/>
          <w:szCs w:val="20"/>
        </w:rPr>
        <w:t xml:space="preserve">Monitor &amp; approve operational work orders in SAP and FIS. </w:t>
      </w:r>
    </w:p>
    <w:p>
      <w:pPr>
        <w:pStyle w:val="Normal"/>
        <w:widowControl w:val="false"/>
        <w:autoSpaceDE w:val="false"/>
        <w:spacing w:lineRule="exact" w:line="19" w:before="0" w:after="0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cs="Wingdings" w:ascii="Wingdings" w:hAnsi="Wingdings"/>
          <w:sz w:val="40"/>
          <w:szCs w:val="40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M &amp; R tariff maintenance in MARS -  HL inspector for MnR with cost approval.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Arrange container sale, if required, as per guidelines from HL SIN / HAM EQ Management.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240" w:before="0" w:after="0"/>
        <w:ind w:left="860" w:right="54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Handle OPSSS for HL Dubai including creation of vendor contracts in SAP, TRACO updation and maintenance. </w:t>
      </w:r>
    </w:p>
    <w:p>
      <w:pPr>
        <w:pStyle w:val="Normal"/>
        <w:widowControl w:val="false"/>
        <w:autoSpaceDE w:val="false"/>
        <w:spacing w:lineRule="exact" w:line="60" w:before="0" w:after="0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Wingdings" w:ascii="Wingdings" w:hAnsi="Wingdings"/>
          <w:sz w:val="32"/>
          <w:szCs w:val="32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SAP &amp; FIS work order confirmation / approval. </w:t>
      </w:r>
    </w:p>
    <w:p>
      <w:pPr>
        <w:pStyle w:val="Normal"/>
        <w:widowControl w:val="false"/>
        <w:autoSpaceDE w:val="false"/>
        <w:spacing w:lineRule="exact" w:line="42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240" w:before="0" w:after="0"/>
        <w:ind w:left="860" w:right="18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Helvetica" w:ascii="Helvetica" w:hAnsi="Helvetica"/>
          <w:sz w:val="17"/>
          <w:szCs w:val="17"/>
        </w:rPr>
        <w:t xml:space="preserve">Constant review of vendor capabilities and obtaining market intelligence about vendors operating with other lines. </w:t>
      </w:r>
    </w:p>
    <w:p>
      <w:pPr>
        <w:pStyle w:val="Normal"/>
        <w:widowControl w:val="false"/>
        <w:autoSpaceDE w:val="false"/>
        <w:spacing w:lineRule="exact" w:line="60" w:before="0" w:after="0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Wingdings" w:ascii="Wingdings" w:hAnsi="Wingdings"/>
          <w:sz w:val="32"/>
          <w:szCs w:val="32"/>
          <w:vertAlign w:val="superscri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Evaluate vendors as per QEM requirements.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sectPr>
          <w:type w:val="nextPage"/>
          <w:pgSz w:w="11906" w:h="16838"/>
          <w:pgMar w:left="900" w:right="1000" w:header="0" w:top="1254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1"/>
        </w:numPr>
        <w:tabs>
          <w:tab w:val="left" w:pos="860" w:leader="none"/>
        </w:tabs>
        <w:overflowPunct w:val="false"/>
        <w:autoSpaceDE w:val="false"/>
        <w:spacing w:lineRule="auto" w:line="182" w:before="0" w:after="0"/>
        <w:ind w:left="8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Perform cost accruals and analysis.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760" w:leader="none"/>
        </w:tabs>
        <w:overflowPunct w:val="false"/>
        <w:autoSpaceDE w:val="false"/>
        <w:spacing w:lineRule="auto" w:line="240" w:before="0" w:after="0"/>
        <w:ind w:left="76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bookmarkStart w:id="3" w:name="page3"/>
      <w:bookmarkEnd w:id="3"/>
      <w:r>
        <w:drawing>
          <wp:anchor behindDoc="1" distT="0" distB="0" distL="114935" distR="114935" simplePos="0" locked="0" layoutInCell="1" allowOverlap="1" relativeHeight="6">
            <wp:simplePos x="0" y="0"/>
            <wp:positionH relativeFrom="page">
              <wp:posOffset>583565</wp:posOffset>
            </wp:positionH>
            <wp:positionV relativeFrom="page">
              <wp:posOffset>542290</wp:posOffset>
            </wp:positionV>
            <wp:extent cx="6340475" cy="6095365"/>
            <wp:effectExtent l="0" t="0" r="0" b="0"/>
            <wp:wrapNone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K</w:t>
      </w:r>
      <w:r>
        <w:rPr>
          <w:rFonts w:cs="Arial" w:ascii="Arial" w:hAnsi="Arial"/>
          <w:sz w:val="20"/>
          <w:szCs w:val="20"/>
        </w:rPr>
        <w:t xml:space="preserve">PI analysis and implement measures for cost control (in consultation with Ops Director) </w:t>
      </w:r>
    </w:p>
    <w:p>
      <w:pPr>
        <w:pStyle w:val="Normal"/>
        <w:widowControl w:val="false"/>
        <w:autoSpaceDE w:val="false"/>
        <w:spacing w:lineRule="exact" w:line="16" w:before="0" w:after="0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cs="Wingdings" w:ascii="Wingdings" w:hAnsi="Wingdings"/>
          <w:sz w:val="40"/>
          <w:szCs w:val="40"/>
          <w:vertAlign w:val="superscript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Ensure Departmental KPI are achieved. </w:t>
      </w:r>
    </w:p>
    <w:p>
      <w:pPr>
        <w:pStyle w:val="Normal"/>
        <w:widowControl w:val="false"/>
        <w:autoSpaceDE w:val="false"/>
        <w:spacing w:lineRule="exact" w:line="18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Provide guidance to sales team on implications of contracts or tenders &amp; provide cost-components for </w:t>
      </w:r>
    </w:p>
    <w:p>
      <w:pPr>
        <w:pStyle w:val="Normal"/>
        <w:widowControl w:val="false"/>
        <w:autoSpaceDE w:val="false"/>
        <w:spacing w:lineRule="exact" w:line="1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76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appropriate costing.</w:t>
      </w:r>
    </w:p>
    <w:p>
      <w:pPr>
        <w:pStyle w:val="Normal"/>
        <w:widowControl w:val="false"/>
        <w:autoSpaceDE w:val="false"/>
        <w:spacing w:lineRule="auto" w:line="182" w:before="0" w:after="0"/>
        <w:ind w:left="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Wingdings" w:ascii="Wingdings" w:hAnsi="Wingdings"/>
          <w:sz w:val="28"/>
          <w:szCs w:val="28"/>
          <w:vertAlign w:val="superscript"/>
        </w:rPr>
        <w:t></w:t>
      </w:r>
      <w:r>
        <w:rPr>
          <w:rFonts w:eastAsia="Helvetica" w:cs="Helvetica" w:ascii="Helvetica" w:hAnsi="Helvetica"/>
          <w:sz w:val="16"/>
          <w:szCs w:val="16"/>
        </w:rPr>
        <w:t xml:space="preserve"> </w:t>
      </w:r>
      <w:r>
        <w:rPr>
          <w:rFonts w:cs="Helvetica" w:ascii="Helvetica" w:hAnsi="Helvetica"/>
          <w:sz w:val="16"/>
          <w:szCs w:val="16"/>
        </w:rPr>
        <w:t>Align work processes as per HLAG workflows including  benchmarkingasperPREXKPI’sguidelines.</w:t>
      </w:r>
    </w:p>
    <w:p>
      <w:pPr>
        <w:pStyle w:val="Normal"/>
        <w:widowControl w:val="false"/>
        <w:autoSpaceDE w:val="false"/>
        <w:spacing w:lineRule="auto" w:line="220" w:before="0" w:after="0"/>
        <w:ind w:left="76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autoSpaceDE w:val="false"/>
        <w:spacing w:lineRule="exact" w:line="27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3" w:before="0" w:after="0"/>
        <w:ind w:left="40" w:right="1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Claims, Auctions &amp; Cargo Disposals</w:t>
      </w:r>
      <w:r>
        <w:rPr>
          <w:rFonts w:cs="Arial" w:ascii="Arial" w:hAnsi="Arial"/>
          <w:b/>
          <w:bCs/>
          <w:sz w:val="20"/>
          <w:szCs w:val="20"/>
        </w:rPr>
        <w:t xml:space="preserve"> - Handling Claims related to port and vessels (on-board or terminal activities like leaking containers etc.), auctions, cargo disposals, to protect the interests of our organization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4" w:before="0" w:after="0"/>
        <w:ind w:left="7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Handle all vessel &amp; equipment claims to prevent / mitigate loss for HL.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Convoke liable parties within time limit. </w:t>
      </w:r>
    </w:p>
    <w:p>
      <w:pPr>
        <w:pStyle w:val="Normal"/>
        <w:widowControl w:val="false"/>
        <w:autoSpaceDE w:val="false"/>
        <w:spacing w:lineRule="exact" w:line="45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0" w:before="0" w:after="0"/>
        <w:ind w:left="760" w:right="12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Take appropriate measures to resolve/settle the claim as per guidelines from HL Corporate Risk Management / Legal Departments and International Shipping Procedures.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Liaise with Underwriters, Surveyors, P&amp;I Clubs &amp; all related parties for all matters till closure of the file.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Handle Legal matters in consultation with Sr. Management and HL Insurance / Legal Dept. </w:t>
      </w:r>
    </w:p>
    <w:p>
      <w:pPr>
        <w:pStyle w:val="Normal"/>
        <w:widowControl w:val="false"/>
        <w:autoSpaceDE w:val="false"/>
        <w:spacing w:lineRule="exact" w:line="43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240" w:before="0" w:after="0"/>
        <w:ind w:left="760" w:right="120" w:hanging="368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cs="Arial" w:ascii="Arial" w:hAnsi="Arial"/>
          <w:sz w:val="18"/>
          <w:szCs w:val="18"/>
        </w:rPr>
        <w:t xml:space="preserve">Handle all formalities/procedures for completion of cargo auction or disposal in order to prevent loss and claims. </w:t>
      </w:r>
    </w:p>
    <w:p>
      <w:pPr>
        <w:pStyle w:val="Normal"/>
        <w:widowControl w:val="false"/>
        <w:autoSpaceDE w:val="false"/>
        <w:spacing w:lineRule="exact" w:line="16" w:before="0" w:after="0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cs="Wingdings" w:ascii="Wingdings" w:hAnsi="Wingdings"/>
          <w:sz w:val="36"/>
          <w:szCs w:val="36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Handle General Average matters.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cs="Wingdings" w:ascii="Wingdings" w:hAnsi="Wingdings"/>
          <w:sz w:val="27"/>
          <w:szCs w:val="27"/>
          <w:vertAlign w:val="superscript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Initiate and ensure recovery of any claim / refunds due for Hapag-Lloyd from external liable parties. 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 w:val="false"/>
        <w:autoSpaceDE w:val="false"/>
        <w:spacing w:lineRule="exact" w:line="28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4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Managing Flow of Information &amp; Documentation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60" w:leader="none"/>
        </w:tabs>
        <w:overflowPunct w:val="false"/>
        <w:autoSpaceDE w:val="false"/>
        <w:spacing w:lineRule="auto" w:line="180" w:before="0" w:after="0"/>
        <w:ind w:left="760" w:hanging="368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cs="Arial" w:ascii="Arial" w:hAnsi="Arial"/>
          <w:sz w:val="16"/>
          <w:szCs w:val="16"/>
        </w:rPr>
        <w:t xml:space="preserve">Manage and ensure timely reporting to HL ME as per guidelines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cs="Wingdings" w:ascii="Wingdings" w:hAnsi="Wingdings"/>
          <w:sz w:val="28"/>
          <w:szCs w:val="28"/>
          <w:vertAlign w:val="superscript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Understand our growing EDI &amp; reporting requirements and liaise with HL IT to provide the same. 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 w:val="false"/>
        <w:autoSpaceDE w:val="false"/>
        <w:spacing w:lineRule="exact" w:line="25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4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Succession Planning and Team Building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0" w:before="0" w:after="0"/>
        <w:ind w:left="760" w:hanging="368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cs="Arial" w:ascii="Arial" w:hAnsi="Arial"/>
          <w:sz w:val="18"/>
          <w:szCs w:val="18"/>
        </w:rPr>
        <w:t xml:space="preserve">Setting goals and objectives for the team </w:t>
      </w:r>
    </w:p>
    <w:p>
      <w:pPr>
        <w:pStyle w:val="Normal"/>
        <w:widowControl w:val="false"/>
        <w:autoSpaceDE w:val="false"/>
        <w:spacing w:lineRule="exact" w:line="105" w:before="0" w:after="0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cs="Wingdings" w:ascii="Wingdings" w:hAnsi="Wingdings"/>
          <w:sz w:val="35"/>
          <w:szCs w:val="35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240" w:before="0" w:after="0"/>
        <w:ind w:left="760" w:right="640" w:hanging="368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Arial" w:ascii="Arial" w:hAnsi="Arial"/>
          <w:sz w:val="17"/>
          <w:szCs w:val="17"/>
        </w:rPr>
        <w:t xml:space="preserve">Review roles within the team and rotate job functions to provide development opportunities to all team-members. </w:t>
      </w:r>
    </w:p>
    <w:p>
      <w:pPr>
        <w:pStyle w:val="Normal"/>
        <w:widowControl w:val="false"/>
        <w:autoSpaceDE w:val="false"/>
        <w:spacing w:lineRule="exact" w:line="60" w:before="0" w:after="0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cs="Wingdings" w:ascii="Wingdings" w:hAnsi="Wingdings"/>
          <w:sz w:val="32"/>
          <w:szCs w:val="32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7" w:before="0" w:after="0"/>
        <w:ind w:left="760" w:hanging="36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cs="Helvetica" w:ascii="Helvetica" w:hAnsi="Helvetica"/>
          <w:sz w:val="18"/>
          <w:szCs w:val="18"/>
        </w:rPr>
        <w:t xml:space="preserve">Align  work  processes  as  per  HLAG  workflows  including  benchmar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cs="Wingdings" w:ascii="Wingdings" w:hAnsi="Wingdings"/>
          <w:sz w:val="33"/>
          <w:szCs w:val="33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Helvetica" w:ascii="Helvetica" w:hAnsi="Helvetica"/>
          <w:sz w:val="15"/>
          <w:szCs w:val="15"/>
        </w:rPr>
        <w:t xml:space="preserve">To identify training needs for team and arrange same in view to raise the efficiency levels.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Motivate, develop, train and direct the team as they work to achieve individual and Departmental goals. </w:t>
      </w:r>
    </w:p>
    <w:p>
      <w:pPr>
        <w:pStyle w:val="Normal"/>
        <w:widowControl w:val="false"/>
        <w:autoSpaceDE w:val="false"/>
        <w:spacing w:lineRule="exact" w:line="18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Conduct Performance evaluation &amp; appraisals. </w:t>
      </w:r>
    </w:p>
    <w:p>
      <w:pPr>
        <w:pStyle w:val="Normal"/>
        <w:widowControl w:val="false"/>
        <w:autoSpaceDE w:val="false"/>
        <w:spacing w:lineRule="exact" w:line="17" w:before="0" w:after="0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Wingdings" w:ascii="Wingdings" w:hAnsi="Wingdings"/>
          <w:sz w:val="25"/>
          <w:szCs w:val="25"/>
          <w:vertAlign w:val="superscript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760" w:leader="none"/>
        </w:tabs>
        <w:overflowPunct w:val="false"/>
        <w:autoSpaceDE w:val="false"/>
        <w:spacing w:lineRule="auto" w:line="182" w:before="0" w:after="0"/>
        <w:ind w:left="760" w:hanging="368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cs="Arial" w:ascii="Arial" w:hAnsi="Arial"/>
          <w:sz w:val="15"/>
          <w:szCs w:val="15"/>
        </w:rPr>
        <w:t xml:space="preserve">Succession planning &amp; develop second-in-command. </w:t>
      </w:r>
    </w:p>
    <w:p>
      <w:pPr>
        <w:pStyle w:val="Normal"/>
        <w:widowControl w:val="false"/>
        <w:autoSpaceDE w:val="false"/>
        <w:spacing w:lineRule="exact" w:line="229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4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FIS Super user for Port Operations, Equipment and Transport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378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</w:rPr>
        <w:t>3.  Qualifications and Technical Job Requirements:</w:t>
      </w:r>
    </w:p>
    <w:p>
      <w:pPr>
        <w:pStyle w:val="Normal"/>
        <w:widowControl w:val="false"/>
        <w:autoSpaceDE w:val="false"/>
        <w:spacing w:lineRule="exact" w:line="263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7">
            <wp:simplePos x="0" y="0"/>
            <wp:positionH relativeFrom="column">
              <wp:posOffset>-62865</wp:posOffset>
            </wp:positionH>
            <wp:positionV relativeFrom="paragraph">
              <wp:posOffset>164465</wp:posOffset>
            </wp:positionV>
            <wp:extent cx="6344285" cy="2306320"/>
            <wp:effectExtent l="0" t="0" r="0" b="0"/>
            <wp:wrapNone/>
            <wp:docPr id="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auto" w:line="237" w:before="0" w:after="0"/>
        <w:ind w:left="20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  <w:u w:val="single"/>
        </w:rPr>
        <w:t>Industry Knowledge</w:t>
      </w:r>
    </w:p>
    <w:p>
      <w:pPr>
        <w:pStyle w:val="Normal"/>
        <w:widowControl w:val="false"/>
        <w:autoSpaceDE w:val="false"/>
        <w:spacing w:lineRule="exact" w:line="1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3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10+ years experience in shipping industry with more importance to exposure gained </w:t>
      </w:r>
    </w:p>
    <w:p>
      <w:pPr>
        <w:pStyle w:val="Normal"/>
        <w:widowControl w:val="false"/>
        <w:autoSpaceDE w:val="false"/>
        <w:spacing w:lineRule="exact" w:line="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3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Sound knowledge of documentation, legal, Customs &amp; Port rules and regulations required </w:t>
      </w:r>
    </w:p>
    <w:p>
      <w:pPr>
        <w:pStyle w:val="Normal"/>
        <w:widowControl w:val="false"/>
        <w:autoSpaceDE w:val="false"/>
        <w:spacing w:lineRule="exact" w:line="5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3" w:before="0" w:after="0"/>
        <w:ind w:left="740" w:right="49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Commitment to deliver excellence in operations Attention to detail </w:t>
      </w:r>
    </w:p>
    <w:p>
      <w:pPr>
        <w:pStyle w:val="Normal"/>
        <w:widowControl w:val="false"/>
        <w:autoSpaceDE w:val="false"/>
        <w:spacing w:lineRule="exact" w:line="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3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Vendor Management and General Management experience </w:t>
      </w:r>
    </w:p>
    <w:p>
      <w:pPr>
        <w:pStyle w:val="Normal"/>
        <w:widowControl w:val="false"/>
        <w:autoSpaceDE w:val="false"/>
        <w:spacing w:lineRule="exact" w:line="23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340" w:hanging="0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  <w:u w:val="single"/>
        </w:rPr>
        <w:t>Business Systems/IT</w:t>
      </w:r>
    </w:p>
    <w:p>
      <w:pPr>
        <w:pStyle w:val="Normal"/>
        <w:widowControl w:val="false"/>
        <w:autoSpaceDE w:val="false"/>
        <w:spacing w:lineRule="exact" w:line="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3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Expert knowledge of user application systems (FIS, MS Office, Word, Excel) </w:t>
      </w:r>
    </w:p>
    <w:p>
      <w:pPr>
        <w:pStyle w:val="Normal"/>
        <w:widowControl w:val="false"/>
        <w:autoSpaceDE w:val="false"/>
        <w:spacing w:lineRule="exact" w:line="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0" w:before="0" w:after="0"/>
        <w:ind w:left="740" w:right="23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Expert knowledge of user application systems (FIS, COMPASS (if applicable) Process knowledge &amp; systems support optimization </w:t>
      </w:r>
    </w:p>
    <w:p>
      <w:pPr>
        <w:pStyle w:val="Normal"/>
        <w:widowControl w:val="false"/>
        <w:autoSpaceDE w:val="false"/>
        <w:spacing w:lineRule="exact" w:line="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0" w:before="0" w:after="0"/>
        <w:ind w:left="740" w:right="38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Ability to promptly process data and request under pressure EQ process and system reengineering </w:t>
      </w:r>
    </w:p>
    <w:p>
      <w:pPr>
        <w:pStyle w:val="Normal"/>
        <w:widowControl w:val="false"/>
        <w:autoSpaceDE w:val="false"/>
        <w:spacing w:lineRule="exact" w:line="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0" w:before="0" w:after="0"/>
        <w:ind w:left="740" w:right="36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Understanding of data quality benchmarking and management KPI Management. </w:t>
      </w:r>
    </w:p>
    <w:p>
      <w:pPr>
        <w:sectPr>
          <w:type w:val="nextPage"/>
          <w:pgSz w:w="11906" w:h="16838"/>
          <w:pgMar w:left="1000" w:right="1020" w:header="0" w:top="105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autoSpaceDE w:val="false"/>
        <w:spacing w:lineRule="exact" w:line="2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634428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pt,0.55pt" to="494.45pt,0.55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autoSpaceDE w:val="false"/>
        <w:spacing w:lineRule="exact" w:line="321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4" w:name="page4"/>
      <w:bookmarkStart w:id="5" w:name="page4"/>
      <w:bookmarkEnd w:id="5"/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9">
            <wp:simplePos x="0" y="0"/>
            <wp:positionH relativeFrom="page">
              <wp:posOffset>5359400</wp:posOffset>
            </wp:positionH>
            <wp:positionV relativeFrom="page">
              <wp:posOffset>542290</wp:posOffset>
            </wp:positionV>
            <wp:extent cx="1564640" cy="256540"/>
            <wp:effectExtent l="0" t="0" r="0" b="0"/>
            <wp:wrapNone/>
            <wp:docPr id="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61" r="-10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auto" w:line="237" w:before="0" w:after="0"/>
        <w:ind w:left="9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bCs/>
        </w:rPr>
        <w:t>4.  Success Criteria for Position:</w:t>
      </w:r>
    </w:p>
    <w:p>
      <w:pPr>
        <w:pStyle w:val="Normal"/>
        <w:widowControl w:val="false"/>
        <w:autoSpaceDE w:val="false"/>
        <w:spacing w:lineRule="exact" w:line="192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10">
            <wp:simplePos x="0" y="0"/>
            <wp:positionH relativeFrom="column">
              <wp:posOffset>-57150</wp:posOffset>
            </wp:positionH>
            <wp:positionV relativeFrom="paragraph">
              <wp:posOffset>120650</wp:posOffset>
            </wp:positionV>
            <wp:extent cx="6344285" cy="2432685"/>
            <wp:effectExtent l="0" t="0" r="0" b="0"/>
            <wp:wrapNone/>
            <wp:docPr id="9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auto" w:line="237" w:before="0" w:after="0"/>
        <w:ind w:left="29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i/>
          <w:iCs/>
          <w:sz w:val="20"/>
          <w:szCs w:val="20"/>
        </w:rPr>
        <w:t>(Guide: soft skills required to carried out the role at the optimal level)</w:t>
      </w:r>
    </w:p>
    <w:p>
      <w:pPr>
        <w:pStyle w:val="Normal"/>
        <w:widowControl w:val="false"/>
        <w:autoSpaceDE w:val="false"/>
        <w:spacing w:lineRule="exact" w:line="234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11">
            <wp:simplePos x="0" y="0"/>
            <wp:positionH relativeFrom="column">
              <wp:posOffset>-51435</wp:posOffset>
            </wp:positionH>
            <wp:positionV relativeFrom="paragraph">
              <wp:posOffset>5715</wp:posOffset>
            </wp:positionV>
            <wp:extent cx="6332220" cy="2273935"/>
            <wp:effectExtent l="0" t="0" r="0" b="0"/>
            <wp:wrapNone/>
            <wp:docPr id="1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" t="-7" r="-2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2">
            <wp:simplePos x="0" y="0"/>
            <wp:positionH relativeFrom="column">
              <wp:posOffset>-51435</wp:posOffset>
            </wp:positionH>
            <wp:positionV relativeFrom="paragraph">
              <wp:posOffset>5715</wp:posOffset>
            </wp:positionV>
            <wp:extent cx="6332220" cy="2273935"/>
            <wp:effectExtent l="0" t="0" r="0" b="0"/>
            <wp:wrapNone/>
            <wp:docPr id="1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" t="-7" r="-2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auto" w:line="237" w:before="0" w:after="0"/>
        <w:ind w:left="29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  <w:u w:val="single"/>
        </w:rPr>
        <w:t>Leadership skills</w:t>
      </w:r>
    </w:p>
    <w:p>
      <w:pPr>
        <w:pStyle w:val="Normal"/>
        <w:widowControl w:val="false"/>
        <w:autoSpaceDE w:val="false"/>
        <w:spacing w:lineRule="exact" w:line="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20" w:before="0" w:after="0"/>
        <w:ind w:left="389" w:right="6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Leadership skills with an ability to develop, manage and lead the team Strong analytical skills with quick decision making </w:t>
      </w:r>
    </w:p>
    <w:p>
      <w:pPr>
        <w:pStyle w:val="Normal"/>
        <w:widowControl w:val="false"/>
        <w:autoSpaceDE w:val="false"/>
        <w:spacing w:lineRule="exact" w:line="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Effective time management and planning skills </w:t>
      </w:r>
    </w:p>
    <w:p>
      <w:pPr>
        <w:pStyle w:val="Normal"/>
        <w:widowControl w:val="false"/>
        <w:autoSpaceDE w:val="false"/>
        <w:spacing w:lineRule="exact" w:line="1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Proactiveness with </w:t>
      </w:r>
      <w:r>
        <w:rPr>
          <w:rFonts w:cs="Arial" w:ascii="Arial" w:hAnsi="Arial"/>
          <w:sz w:val="20"/>
          <w:szCs w:val="20"/>
        </w:rPr>
        <w:t>good team spirit</w:t>
      </w:r>
      <w:r>
        <w:rPr>
          <w:rFonts w:cs="Helvetica" w:ascii="Helvetica" w:hAnsi="Helvetica"/>
          <w:sz w:val="20"/>
          <w:szCs w:val="20"/>
        </w:rPr>
        <w:t xml:space="preserve"> </w:t>
      </w:r>
    </w:p>
    <w:p>
      <w:pPr>
        <w:pStyle w:val="Normal"/>
        <w:widowControl w:val="false"/>
        <w:autoSpaceDE w:val="false"/>
        <w:spacing w:lineRule="exact" w:line="7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Evaluate information / results and choose the best solution to solve problems. </w:t>
      </w:r>
    </w:p>
    <w:p>
      <w:pPr>
        <w:pStyle w:val="Normal"/>
        <w:widowControl w:val="false"/>
        <w:autoSpaceDE w:val="false"/>
        <w:spacing w:lineRule="exact" w:line="29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ind w:left="29" w:hanging="0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  <w:u w:val="single"/>
        </w:rPr>
        <w:t>Communication/Organization Skills</w:t>
      </w:r>
    </w:p>
    <w:p>
      <w:pPr>
        <w:pStyle w:val="Normal"/>
        <w:widowControl w:val="false"/>
        <w:autoSpaceDE w:val="false"/>
        <w:spacing w:lineRule="exact" w:line="58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5" w:before="0" w:after="0"/>
        <w:ind w:left="389" w:right="42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19"/>
          <w:szCs w:val="19"/>
        </w:rPr>
        <w:t xml:space="preserve">Superior communication skills Expert problem resolution </w:t>
      </w:r>
    </w:p>
    <w:p>
      <w:pPr>
        <w:pStyle w:val="Normal"/>
        <w:widowControl w:val="false"/>
        <w:autoSpaceDE w:val="false"/>
        <w:spacing w:lineRule="exact" w:line="1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Helvetica" w:ascii="Helvetica" w:hAnsi="Helvetica"/>
          <w:sz w:val="20"/>
          <w:szCs w:val="20"/>
        </w:rPr>
        <w:t xml:space="preserve">Knowledge of interaction with other functions </w:t>
      </w:r>
    </w:p>
    <w:p>
      <w:pPr>
        <w:pStyle w:val="Normal"/>
        <w:widowControl w:val="false"/>
        <w:autoSpaceDE w:val="false"/>
        <w:spacing w:lineRule="exact" w:line="1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uto" w:line="237" w:before="0" w:after="0"/>
        <w:ind w:left="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Customer friendly &amp; positive attitude </w: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column">
                  <wp:posOffset>-57785</wp:posOffset>
                </wp:positionH>
                <wp:positionV relativeFrom="paragraph">
                  <wp:posOffset>227965</wp:posOffset>
                </wp:positionV>
                <wp:extent cx="6344285" cy="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17.95pt" to="494.9pt,17.95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31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369" w:leader="none"/>
        </w:tabs>
        <w:overflowPunct w:val="false"/>
        <w:autoSpaceDE w:val="false"/>
        <w:spacing w:lineRule="auto" w:line="237" w:before="0" w:after="0"/>
        <w:ind w:left="369" w:hanging="369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Special Tasks (if applicable): </w:t>
      </w:r>
    </w:p>
    <w:p>
      <w:pPr>
        <w:pStyle w:val="Normal"/>
        <w:widowControl w:val="false"/>
        <w:autoSpaceDE w:val="false"/>
        <w:spacing w:lineRule="exact" w:line="211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tabs>
          <w:tab w:val="left" w:pos="749" w:leader="none"/>
        </w:tabs>
        <w:overflowPunct w:val="false"/>
        <w:autoSpaceDE w:val="false"/>
        <w:spacing w:lineRule="auto" w:line="237" w:before="0" w:after="0"/>
        <w:ind w:left="749" w:hanging="367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cs="Arial" w:ascii="Arial" w:hAnsi="Arial"/>
          <w:sz w:val="20"/>
          <w:szCs w:val="20"/>
        </w:rPr>
        <w:t xml:space="preserve">Point of contact for approval of Dangerous goods into and transhipment 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Wingdings" w:hAnsi="Wingdings" w:cs="Wingdings"/>
          <w:sz w:val="40"/>
          <w:szCs w:val="40"/>
          <w:vertAlign w:val="superscript"/>
          <w:lang w:val="en-US" w:eastAsia="en-US"/>
        </w:rPr>
      </w:pPr>
      <w:r>
        <w:rPr>
          <w:rFonts w:cs="Wingdings" w:ascii="Wingdings" w:hAnsi="Wingdings"/>
          <w:sz w:val="40"/>
          <w:szCs w:val="40"/>
          <w:vertAlign w:val="superscript"/>
          <w:lang w:val="en-US" w:eastAsia="en-US"/>
        </w:rPr>
        <w:drawing>
          <wp:anchor behindDoc="1" distT="0" distB="0" distL="114935" distR="114935" simplePos="0" locked="0" layoutInCell="1" allowOverlap="1" relativeHeight="14">
            <wp:simplePos x="0" y="0"/>
            <wp:positionH relativeFrom="column">
              <wp:posOffset>-57150</wp:posOffset>
            </wp:positionH>
            <wp:positionV relativeFrom="paragraph">
              <wp:posOffset>-293370</wp:posOffset>
            </wp:positionV>
            <wp:extent cx="6344285" cy="498475"/>
            <wp:effectExtent l="0" t="0" r="0" b="0"/>
            <wp:wrapNone/>
            <wp:docPr id="13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" t="-32" r="-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991" w:right="366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Helvetica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vertAlign w:val="superscrip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vertAlign w:val="superscrip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vertAlign w:val="superscrip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vertAlign w:val="superscrip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vertAlign w:val="superscrip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6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vertAlign w:val="superscript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vertAlign w:val="superscript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vertAlign w:val="superscrip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vertAlign w:val="superscript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vertAlign w:val="superscript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apag-lloyd.com/en/home.html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image" Target="media/image7.jpe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LibreOffice/5.4.6.2$Linux_X86_64 LibreOffice_project/4014ce260a04f1026ba855d3b8d91541c224eab8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2018-04-24T14:02:00Z</dcterms:created>
  <dc:creator>Windows User</dc:creator>
  <dc:description/>
  <dc:language>en-US</dc:language>
  <cp:lastModifiedBy>Windows User</cp:lastModifiedBy>
  <dcterms:modified xsi:type="dcterms:W3CDTF">2018-04-24T14:02:00Z</dcterms:modified>
  <cp:revision>2</cp:revision>
  <dc:subject/>
  <dc:title/>
</cp:coreProperties>
</file>