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75" w:rsidRPr="00E34CEE" w:rsidRDefault="00C92196" w:rsidP="00C92196">
      <w:pPr>
        <w:jc w:val="center"/>
        <w:rPr>
          <w:rFonts w:asciiTheme="majorHAnsi" w:hAnsiTheme="majorHAnsi" w:cs="Arial"/>
          <w:b/>
          <w:u w:val="single"/>
        </w:rPr>
      </w:pPr>
      <w:r w:rsidRPr="00E34CEE">
        <w:rPr>
          <w:rFonts w:asciiTheme="majorHAnsi" w:hAnsiTheme="majorHAnsi" w:cs="Arial"/>
          <w:b/>
          <w:u w:val="single"/>
        </w:rPr>
        <w:t>JOB OPENING – REQUISITION FORM</w:t>
      </w:r>
      <w:bookmarkStart w:id="0" w:name="_GoBack"/>
      <w:bookmarkEnd w:id="0"/>
      <w:r w:rsidR="00FF307F">
        <w:rPr>
          <w:rFonts w:asciiTheme="majorHAnsi" w:hAnsiTheme="majorHAnsi" w:cs="Arial"/>
          <w:b/>
        </w:rPr>
        <w:t>20.01.2020</w:t>
      </w:r>
    </w:p>
    <w:tbl>
      <w:tblPr>
        <w:tblStyle w:val="TableGrid"/>
        <w:tblW w:w="0" w:type="auto"/>
        <w:tblLook w:val="04A0"/>
      </w:tblPr>
      <w:tblGrid>
        <w:gridCol w:w="648"/>
        <w:gridCol w:w="3780"/>
        <w:gridCol w:w="4817"/>
      </w:tblGrid>
      <w:tr w:rsidR="00C92196" w:rsidRPr="00E34CEE" w:rsidTr="006B6D8A">
        <w:tc>
          <w:tcPr>
            <w:tcW w:w="648" w:type="dxa"/>
          </w:tcPr>
          <w:p w:rsidR="00C92196" w:rsidRPr="00E34CEE" w:rsidRDefault="00DB120F" w:rsidP="00C92196">
            <w:pPr>
              <w:jc w:val="both"/>
              <w:rPr>
                <w:rFonts w:asciiTheme="majorHAnsi" w:hAnsiTheme="majorHAnsi" w:cs="Arial"/>
                <w:b/>
              </w:rPr>
            </w:pPr>
            <w:r w:rsidRPr="00E34CEE">
              <w:rPr>
                <w:rFonts w:asciiTheme="majorHAnsi" w:hAnsiTheme="majorHAnsi" w:cs="Arial"/>
                <w:b/>
              </w:rPr>
              <w:t>Sr. No.</w:t>
            </w:r>
          </w:p>
        </w:tc>
        <w:tc>
          <w:tcPr>
            <w:tcW w:w="3780"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Heads</w:t>
            </w:r>
          </w:p>
        </w:tc>
        <w:tc>
          <w:tcPr>
            <w:tcW w:w="4817" w:type="dxa"/>
          </w:tcPr>
          <w:p w:rsidR="00C92196" w:rsidRPr="00E34CEE" w:rsidRDefault="00DB120F" w:rsidP="00DB120F">
            <w:pPr>
              <w:jc w:val="center"/>
              <w:rPr>
                <w:rFonts w:asciiTheme="majorHAnsi" w:hAnsiTheme="majorHAnsi" w:cs="Arial"/>
                <w:b/>
              </w:rPr>
            </w:pPr>
            <w:r w:rsidRPr="00E34CEE">
              <w:rPr>
                <w:rFonts w:asciiTheme="majorHAnsi" w:hAnsiTheme="majorHAnsi" w:cs="Arial"/>
                <w:b/>
              </w:rPr>
              <w:t>Details</w:t>
            </w:r>
          </w:p>
        </w:tc>
      </w:tr>
      <w:tr w:rsidR="00C92196" w:rsidRPr="00E34CEE" w:rsidTr="006B6D8A">
        <w:trPr>
          <w:trHeight w:val="70"/>
        </w:trPr>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1.</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Name of Employer</w:t>
            </w: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C92196" w:rsidRPr="00E34CEE" w:rsidRDefault="001057BB" w:rsidP="00C92196">
            <w:pPr>
              <w:jc w:val="both"/>
              <w:rPr>
                <w:rFonts w:asciiTheme="majorHAnsi" w:hAnsiTheme="majorHAnsi" w:cs="Arial"/>
              </w:rPr>
            </w:pPr>
            <w:r>
              <w:rPr>
                <w:rFonts w:asciiTheme="majorHAnsi" w:hAnsiTheme="majorHAnsi" w:cs="Arial"/>
              </w:rPr>
              <w:t>CMA – CGM SSC</w:t>
            </w: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2.</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Nature of Business</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tc>
        <w:tc>
          <w:tcPr>
            <w:tcW w:w="4817" w:type="dxa"/>
          </w:tcPr>
          <w:p w:rsidR="00C92196" w:rsidRPr="00E34CEE" w:rsidRDefault="001057BB" w:rsidP="008B742D">
            <w:pPr>
              <w:spacing w:line="300" w:lineRule="atLeast"/>
              <w:rPr>
                <w:rFonts w:asciiTheme="majorHAnsi" w:hAnsiTheme="majorHAnsi" w:cs="Arial"/>
              </w:rPr>
            </w:pPr>
            <w:r>
              <w:rPr>
                <w:rFonts w:asciiTheme="majorHAnsi" w:hAnsiTheme="majorHAnsi" w:cs="Arial"/>
              </w:rPr>
              <w:t>Shipping Back Office</w:t>
            </w: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3.</w:t>
            </w:r>
          </w:p>
        </w:tc>
        <w:tc>
          <w:tcPr>
            <w:tcW w:w="3780" w:type="dxa"/>
          </w:tcPr>
          <w:p w:rsidR="00C92196" w:rsidRPr="00E34CEE" w:rsidRDefault="00DB120F" w:rsidP="00C92196">
            <w:pPr>
              <w:jc w:val="both"/>
              <w:rPr>
                <w:rFonts w:asciiTheme="majorHAnsi" w:hAnsiTheme="majorHAnsi" w:cs="Arial"/>
              </w:rPr>
            </w:pPr>
            <w:r w:rsidRPr="00E34CEE">
              <w:rPr>
                <w:rFonts w:asciiTheme="majorHAnsi" w:hAnsiTheme="majorHAnsi" w:cs="Arial"/>
              </w:rPr>
              <w:t>Postal Address</w:t>
            </w: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1057BB" w:rsidRPr="001057BB" w:rsidRDefault="001057BB" w:rsidP="001057BB">
            <w:pPr>
              <w:spacing w:line="300" w:lineRule="atLeast"/>
              <w:rPr>
                <w:rFonts w:asciiTheme="majorHAnsi" w:hAnsiTheme="majorHAnsi" w:cs="Arial"/>
              </w:rPr>
            </w:pPr>
            <w:r w:rsidRPr="001057BB">
              <w:rPr>
                <w:rFonts w:asciiTheme="majorHAnsi" w:hAnsiTheme="majorHAnsi" w:cs="Arial"/>
              </w:rPr>
              <w:t>CMA CGM Shared Service Centre (India) Pvt. Ltd</w:t>
            </w:r>
          </w:p>
          <w:p w:rsidR="001057BB" w:rsidRPr="001057BB" w:rsidRDefault="001057BB" w:rsidP="001057BB">
            <w:pPr>
              <w:spacing w:line="300" w:lineRule="atLeast"/>
              <w:rPr>
                <w:rFonts w:asciiTheme="majorHAnsi" w:hAnsiTheme="majorHAnsi" w:cs="Arial"/>
              </w:rPr>
            </w:pPr>
            <w:r w:rsidRPr="001057BB">
              <w:rPr>
                <w:rFonts w:asciiTheme="majorHAnsi" w:hAnsiTheme="majorHAnsi" w:cs="Arial"/>
              </w:rPr>
              <w:t xml:space="preserve">3rd Floor, Kalpataru Prime,  Wagle Industrial Estate, </w:t>
            </w:r>
          </w:p>
          <w:p w:rsidR="001057BB" w:rsidRPr="001057BB" w:rsidRDefault="001057BB" w:rsidP="001057BB">
            <w:pPr>
              <w:spacing w:line="300" w:lineRule="atLeast"/>
              <w:rPr>
                <w:rFonts w:asciiTheme="majorHAnsi" w:hAnsiTheme="majorHAnsi" w:cs="Arial"/>
              </w:rPr>
            </w:pPr>
            <w:r w:rsidRPr="001057BB">
              <w:rPr>
                <w:rFonts w:asciiTheme="majorHAnsi" w:hAnsiTheme="majorHAnsi" w:cs="Arial"/>
              </w:rPr>
              <w:t>Thane (W), Maharashtra - 400604.</w:t>
            </w:r>
          </w:p>
          <w:p w:rsidR="00C92196" w:rsidRPr="00E34CEE" w:rsidRDefault="00C92196" w:rsidP="006D614B">
            <w:pPr>
              <w:shd w:val="clear" w:color="auto" w:fill="FFFFFF"/>
              <w:rPr>
                <w:rFonts w:asciiTheme="majorHAnsi" w:hAnsiTheme="majorHAnsi" w:cs="Arial"/>
              </w:rPr>
            </w:pPr>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4.</w:t>
            </w:r>
          </w:p>
        </w:tc>
        <w:tc>
          <w:tcPr>
            <w:tcW w:w="3780" w:type="dxa"/>
          </w:tcPr>
          <w:p w:rsidR="00E34CEE" w:rsidRPr="00E34CEE" w:rsidRDefault="00E34CEE" w:rsidP="00E34CEE">
            <w:pPr>
              <w:jc w:val="both"/>
              <w:rPr>
                <w:rFonts w:asciiTheme="majorHAnsi" w:hAnsiTheme="majorHAnsi" w:cs="Arial"/>
              </w:rPr>
            </w:pPr>
            <w:r w:rsidRPr="00E34CEE">
              <w:rPr>
                <w:rFonts w:asciiTheme="majorHAnsi" w:hAnsiTheme="majorHAnsi" w:cs="Arial"/>
              </w:rPr>
              <w:t>Tele., E-mail &amp; Website</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1057BB" w:rsidRDefault="001057BB" w:rsidP="001057BB">
            <w:pPr>
              <w:spacing w:line="252" w:lineRule="auto"/>
              <w:rPr>
                <w:rFonts w:ascii="Arial" w:hAnsi="Arial" w:cs="Arial"/>
                <w:b/>
                <w:bCs/>
                <w:color w:val="244061"/>
                <w:sz w:val="20"/>
                <w:szCs w:val="20"/>
                <w:lang w:eastAsia="fr-FR"/>
              </w:rPr>
            </w:pPr>
            <w:r>
              <w:rPr>
                <w:rFonts w:ascii="Arial" w:hAnsi="Arial" w:cs="Arial"/>
                <w:b/>
                <w:bCs/>
                <w:color w:val="244061"/>
                <w:sz w:val="20"/>
                <w:szCs w:val="20"/>
                <w:lang w:eastAsia="fr-FR"/>
              </w:rPr>
              <w:t xml:space="preserve">Direct line: +91 (22) </w:t>
            </w:r>
            <w:r>
              <w:rPr>
                <w:rFonts w:ascii="Arial" w:hAnsi="Arial" w:cs="Arial"/>
                <w:color w:val="051039"/>
                <w:sz w:val="20"/>
                <w:szCs w:val="20"/>
                <w:lang w:eastAsia="fr-FR"/>
              </w:rPr>
              <w:t>4935 5828</w:t>
            </w:r>
          </w:p>
          <w:p w:rsidR="006D614B" w:rsidRDefault="00A6164F" w:rsidP="006D614B">
            <w:pPr>
              <w:jc w:val="both"/>
              <w:rPr>
                <w:rFonts w:asciiTheme="majorHAnsi" w:hAnsiTheme="majorHAnsi" w:cs="Arial"/>
              </w:rPr>
            </w:pPr>
            <w:hyperlink r:id="rId6" w:history="1">
              <w:r w:rsidR="001057BB" w:rsidRPr="00235746">
                <w:rPr>
                  <w:rStyle w:val="Hyperlink"/>
                  <w:rFonts w:asciiTheme="majorHAnsi" w:hAnsiTheme="majorHAnsi" w:cs="Arial"/>
                </w:rPr>
                <w:t>Ssc.uahmed@cma-cgm.com</w:t>
              </w:r>
            </w:hyperlink>
          </w:p>
          <w:p w:rsidR="001057BB" w:rsidRPr="00E34CEE" w:rsidRDefault="00A6164F" w:rsidP="006D614B">
            <w:pPr>
              <w:jc w:val="both"/>
              <w:rPr>
                <w:rFonts w:asciiTheme="majorHAnsi" w:hAnsiTheme="majorHAnsi" w:cs="Arial"/>
              </w:rPr>
            </w:pPr>
            <w:hyperlink r:id="rId7" w:history="1">
              <w:r w:rsidR="001057BB">
                <w:rPr>
                  <w:rStyle w:val="Hyperlink"/>
                  <w:rFonts w:ascii="Arial" w:hAnsi="Arial" w:cs="Arial"/>
                  <w:b/>
                  <w:bCs/>
                  <w:sz w:val="20"/>
                  <w:szCs w:val="20"/>
                  <w:lang w:eastAsia="en-IN"/>
                </w:rPr>
                <w:t>www.cma-cgm.com</w:t>
              </w:r>
            </w:hyperlink>
          </w:p>
        </w:tc>
      </w:tr>
      <w:tr w:rsidR="00C92196" w:rsidRPr="00E34CEE" w:rsidTr="006B6D8A">
        <w:tc>
          <w:tcPr>
            <w:tcW w:w="648" w:type="dxa"/>
          </w:tcPr>
          <w:p w:rsidR="00C92196" w:rsidRPr="00E34CEE" w:rsidRDefault="00DB120F" w:rsidP="00C92196">
            <w:pPr>
              <w:jc w:val="both"/>
              <w:rPr>
                <w:rFonts w:asciiTheme="majorHAnsi" w:hAnsiTheme="majorHAnsi" w:cs="Arial"/>
              </w:rPr>
            </w:pPr>
            <w:r w:rsidRPr="00E34CEE">
              <w:rPr>
                <w:rFonts w:asciiTheme="majorHAnsi" w:hAnsiTheme="majorHAnsi" w:cs="Arial"/>
              </w:rPr>
              <w:t>5.</w:t>
            </w:r>
          </w:p>
        </w:tc>
        <w:tc>
          <w:tcPr>
            <w:tcW w:w="3780" w:type="dxa"/>
          </w:tcPr>
          <w:p w:rsidR="00E34CEE" w:rsidRPr="00E34CEE" w:rsidRDefault="00E34CEE" w:rsidP="00E34CEE">
            <w:pPr>
              <w:rPr>
                <w:rFonts w:asciiTheme="majorHAnsi" w:hAnsiTheme="majorHAnsi" w:cs="Arial"/>
              </w:rPr>
            </w:pPr>
            <w:r w:rsidRPr="00E34CEE">
              <w:rPr>
                <w:rFonts w:asciiTheme="majorHAnsi" w:hAnsiTheme="majorHAnsi" w:cs="Arial"/>
              </w:rPr>
              <w:t>Contact person’s name, designation, Tele. No. &amp; e-mail</w:t>
            </w:r>
          </w:p>
          <w:p w:rsidR="00DB120F" w:rsidRPr="00E34CEE" w:rsidRDefault="00DB120F" w:rsidP="00C92196">
            <w:pPr>
              <w:jc w:val="both"/>
              <w:rPr>
                <w:rFonts w:asciiTheme="majorHAnsi" w:hAnsiTheme="majorHAnsi" w:cs="Arial"/>
              </w:rPr>
            </w:pPr>
          </w:p>
          <w:p w:rsidR="00DB120F" w:rsidRPr="00E34CEE" w:rsidRDefault="00DB120F" w:rsidP="00C92196">
            <w:pPr>
              <w:jc w:val="both"/>
              <w:rPr>
                <w:rFonts w:asciiTheme="majorHAnsi" w:hAnsiTheme="majorHAnsi" w:cs="Arial"/>
              </w:rPr>
            </w:pPr>
          </w:p>
        </w:tc>
        <w:tc>
          <w:tcPr>
            <w:tcW w:w="4817" w:type="dxa"/>
          </w:tcPr>
          <w:p w:rsidR="006D614B" w:rsidRDefault="001057BB" w:rsidP="00C92196">
            <w:pPr>
              <w:jc w:val="both"/>
              <w:rPr>
                <w:rFonts w:asciiTheme="majorHAnsi" w:hAnsiTheme="majorHAnsi" w:cs="Arial"/>
              </w:rPr>
            </w:pPr>
            <w:r>
              <w:rPr>
                <w:rFonts w:asciiTheme="majorHAnsi" w:hAnsiTheme="majorHAnsi" w:cs="Arial"/>
              </w:rPr>
              <w:t>Uroosa Maki Ahmed</w:t>
            </w:r>
          </w:p>
          <w:p w:rsidR="001057BB" w:rsidRDefault="001057BB" w:rsidP="001057BB">
            <w:pPr>
              <w:spacing w:line="252" w:lineRule="auto"/>
              <w:rPr>
                <w:rFonts w:ascii="Arial" w:hAnsi="Arial" w:cs="Arial"/>
                <w:b/>
                <w:bCs/>
                <w:color w:val="244061"/>
                <w:sz w:val="20"/>
                <w:szCs w:val="20"/>
                <w:lang w:eastAsia="fr-FR"/>
              </w:rPr>
            </w:pPr>
            <w:r>
              <w:rPr>
                <w:rFonts w:ascii="Arial" w:hAnsi="Arial" w:cs="Arial"/>
                <w:b/>
                <w:bCs/>
                <w:color w:val="244061"/>
                <w:sz w:val="20"/>
                <w:szCs w:val="20"/>
                <w:lang w:eastAsia="fr-FR"/>
              </w:rPr>
              <w:t xml:space="preserve">Direct line: +91 (22) </w:t>
            </w:r>
            <w:r>
              <w:rPr>
                <w:rFonts w:ascii="Arial" w:hAnsi="Arial" w:cs="Arial"/>
                <w:color w:val="051039"/>
                <w:sz w:val="20"/>
                <w:szCs w:val="20"/>
                <w:lang w:eastAsia="fr-FR"/>
              </w:rPr>
              <w:t>4935 5828</w:t>
            </w:r>
          </w:p>
          <w:p w:rsidR="001057BB" w:rsidRPr="00E34CEE" w:rsidRDefault="001057BB" w:rsidP="00C92196">
            <w:pPr>
              <w:jc w:val="both"/>
              <w:rPr>
                <w:rFonts w:asciiTheme="majorHAnsi" w:hAnsiTheme="majorHAnsi" w:cs="Arial"/>
              </w:rPr>
            </w:pPr>
            <w:r>
              <w:rPr>
                <w:rFonts w:asciiTheme="majorHAnsi" w:hAnsiTheme="majorHAnsi" w:cs="Arial"/>
              </w:rPr>
              <w:t>Senior HR Executive</w:t>
            </w:r>
          </w:p>
        </w:tc>
      </w:tr>
      <w:tr w:rsidR="006B6D8A" w:rsidRPr="00E34CEE" w:rsidTr="003022E3">
        <w:tc>
          <w:tcPr>
            <w:tcW w:w="648" w:type="dxa"/>
            <w:vMerge w:val="restart"/>
          </w:tcPr>
          <w:p w:rsidR="006B6D8A" w:rsidRPr="00E34CEE" w:rsidRDefault="006B6D8A" w:rsidP="00C92196">
            <w:pPr>
              <w:jc w:val="both"/>
              <w:rPr>
                <w:rFonts w:asciiTheme="majorHAnsi" w:hAnsiTheme="majorHAnsi" w:cs="Arial"/>
              </w:rPr>
            </w:pPr>
            <w:r w:rsidRPr="00E34CEE">
              <w:rPr>
                <w:rFonts w:asciiTheme="majorHAnsi" w:hAnsiTheme="majorHAnsi" w:cs="Arial"/>
              </w:rPr>
              <w:t>6.</w:t>
            </w:r>
          </w:p>
        </w:tc>
        <w:tc>
          <w:tcPr>
            <w:tcW w:w="8597" w:type="dxa"/>
            <w:gridSpan w:val="2"/>
          </w:tcPr>
          <w:p w:rsidR="006B6D8A" w:rsidRPr="00E34CEE" w:rsidRDefault="006B6D8A" w:rsidP="00C92196">
            <w:pPr>
              <w:jc w:val="both"/>
              <w:rPr>
                <w:rFonts w:asciiTheme="majorHAnsi" w:hAnsiTheme="majorHAnsi" w:cs="Arial"/>
              </w:rPr>
            </w:pPr>
            <w:r w:rsidRPr="00E34CEE">
              <w:rPr>
                <w:rFonts w:asciiTheme="majorHAnsi" w:hAnsiTheme="majorHAnsi" w:cs="Arial"/>
              </w:rPr>
              <w:t>Vacancy description :</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r w:rsidRPr="00E34CEE">
              <w:rPr>
                <w:rFonts w:asciiTheme="majorHAnsi" w:hAnsiTheme="majorHAnsi" w:cs="Arial"/>
              </w:rPr>
              <w:t>.1 Position including nature of work</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6D614B" w:rsidRDefault="006D614B" w:rsidP="00A52EEA">
            <w:pPr>
              <w:rPr>
                <w:rFonts w:asciiTheme="majorHAnsi" w:hAnsiTheme="majorHAnsi" w:cs="Arial"/>
              </w:rPr>
            </w:pPr>
          </w:p>
          <w:p w:rsidR="00E34CEE" w:rsidRPr="006D614B" w:rsidRDefault="001057BB" w:rsidP="006D614B">
            <w:pPr>
              <w:rPr>
                <w:rFonts w:asciiTheme="majorHAnsi" w:hAnsiTheme="majorHAnsi" w:cs="Arial"/>
              </w:rPr>
            </w:pPr>
            <w:r>
              <w:rPr>
                <w:rFonts w:asciiTheme="majorHAnsi" w:hAnsiTheme="majorHAnsi" w:cs="Arial"/>
              </w:rPr>
              <w:t>Claims Exectuive</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.2 Number of vacancies</w:t>
            </w:r>
          </w:p>
          <w:p w:rsidR="006B6D8A" w:rsidRPr="00E34CEE" w:rsidRDefault="006B6D8A" w:rsidP="00C92196">
            <w:pPr>
              <w:jc w:val="both"/>
              <w:rPr>
                <w:rFonts w:asciiTheme="majorHAnsi" w:hAnsiTheme="majorHAnsi" w:cs="Arial"/>
              </w:rPr>
            </w:pPr>
          </w:p>
        </w:tc>
        <w:tc>
          <w:tcPr>
            <w:tcW w:w="4817" w:type="dxa"/>
          </w:tcPr>
          <w:p w:rsidR="006B6D8A" w:rsidRPr="00E34CEE" w:rsidRDefault="001057BB" w:rsidP="00C92196">
            <w:pPr>
              <w:jc w:val="both"/>
              <w:rPr>
                <w:rFonts w:asciiTheme="majorHAnsi" w:hAnsiTheme="majorHAnsi" w:cs="Arial"/>
              </w:rPr>
            </w:pPr>
            <w:r>
              <w:rPr>
                <w:rFonts w:asciiTheme="majorHAnsi" w:hAnsiTheme="majorHAnsi" w:cs="Arial"/>
              </w:rPr>
              <w:t>15</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.3 Approx. monthly compensation &amp; other benefits</w:t>
            </w:r>
          </w:p>
          <w:p w:rsidR="006B6D8A" w:rsidRPr="00E34CEE" w:rsidRDefault="006B6D8A" w:rsidP="00C92196">
            <w:pPr>
              <w:jc w:val="both"/>
              <w:rPr>
                <w:rFonts w:asciiTheme="majorHAnsi" w:hAnsiTheme="majorHAnsi" w:cs="Arial"/>
              </w:rPr>
            </w:pPr>
          </w:p>
        </w:tc>
        <w:tc>
          <w:tcPr>
            <w:tcW w:w="4817" w:type="dxa"/>
          </w:tcPr>
          <w:p w:rsidR="006B6D8A" w:rsidRDefault="001057BB" w:rsidP="00C92196">
            <w:pPr>
              <w:jc w:val="both"/>
              <w:rPr>
                <w:rFonts w:asciiTheme="majorHAnsi" w:hAnsiTheme="majorHAnsi" w:cs="Arial"/>
              </w:rPr>
            </w:pPr>
            <w:r>
              <w:rPr>
                <w:rFonts w:asciiTheme="majorHAnsi" w:hAnsiTheme="majorHAnsi" w:cs="Arial"/>
              </w:rPr>
              <w:t>As per company norms</w:t>
            </w:r>
          </w:p>
          <w:p w:rsidR="001057BB" w:rsidRDefault="001057BB" w:rsidP="00C92196">
            <w:pPr>
              <w:jc w:val="both"/>
              <w:rPr>
                <w:rFonts w:asciiTheme="majorHAnsi" w:hAnsiTheme="majorHAnsi" w:cs="Arial"/>
              </w:rPr>
            </w:pPr>
            <w:r>
              <w:rPr>
                <w:rFonts w:asciiTheme="majorHAnsi" w:hAnsiTheme="majorHAnsi" w:cs="Arial"/>
              </w:rPr>
              <w:t>Monthly Sudexo</w:t>
            </w:r>
          </w:p>
          <w:p w:rsidR="001057BB" w:rsidRPr="00E34CEE" w:rsidRDefault="001057BB" w:rsidP="00C92196">
            <w:pPr>
              <w:jc w:val="both"/>
              <w:rPr>
                <w:rFonts w:asciiTheme="majorHAnsi" w:hAnsiTheme="majorHAnsi" w:cs="Arial"/>
              </w:rPr>
            </w:pPr>
            <w:r>
              <w:rPr>
                <w:rFonts w:asciiTheme="majorHAnsi" w:hAnsiTheme="majorHAnsi" w:cs="Arial"/>
              </w:rPr>
              <w:t>Transport</w:t>
            </w:r>
          </w:p>
        </w:tc>
      </w:tr>
      <w:tr w:rsidR="006B6D8A" w:rsidRPr="00E34CEE" w:rsidTr="006B6D8A">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.4 Location of Employment</w:t>
            </w:r>
          </w:p>
          <w:p w:rsidR="006B6D8A" w:rsidRPr="00E34CEE" w:rsidRDefault="006B6D8A" w:rsidP="00C92196">
            <w:pPr>
              <w:jc w:val="both"/>
              <w:rPr>
                <w:rFonts w:asciiTheme="majorHAnsi" w:hAnsiTheme="majorHAnsi" w:cs="Arial"/>
              </w:rPr>
            </w:pPr>
          </w:p>
        </w:tc>
        <w:tc>
          <w:tcPr>
            <w:tcW w:w="4817" w:type="dxa"/>
          </w:tcPr>
          <w:p w:rsidR="006B6D8A" w:rsidRPr="00E34CEE" w:rsidRDefault="001057BB" w:rsidP="00C92196">
            <w:pPr>
              <w:jc w:val="both"/>
              <w:rPr>
                <w:rFonts w:asciiTheme="majorHAnsi" w:hAnsiTheme="majorHAnsi" w:cs="Arial"/>
              </w:rPr>
            </w:pPr>
            <w:r>
              <w:rPr>
                <w:rFonts w:asciiTheme="majorHAnsi" w:hAnsiTheme="majorHAnsi" w:cs="Arial"/>
              </w:rPr>
              <w:t xml:space="preserve">Thane </w:t>
            </w:r>
          </w:p>
        </w:tc>
      </w:tr>
      <w:tr w:rsidR="006B6D8A" w:rsidRPr="00E34CEE" w:rsidTr="008B742D">
        <w:trPr>
          <w:trHeight w:val="70"/>
        </w:trPr>
        <w:tc>
          <w:tcPr>
            <w:tcW w:w="648" w:type="dxa"/>
            <w:vMerge/>
          </w:tcPr>
          <w:p w:rsidR="006B6D8A" w:rsidRPr="00E34CEE" w:rsidRDefault="006B6D8A" w:rsidP="00C92196">
            <w:pPr>
              <w:jc w:val="both"/>
              <w:rPr>
                <w:rFonts w:asciiTheme="majorHAnsi" w:hAnsiTheme="majorHAnsi" w:cs="Arial"/>
              </w:rPr>
            </w:pPr>
          </w:p>
        </w:tc>
        <w:tc>
          <w:tcPr>
            <w:tcW w:w="3780" w:type="dxa"/>
          </w:tcPr>
          <w:p w:rsidR="006B6D8A" w:rsidRPr="00E34CEE" w:rsidRDefault="006B6D8A" w:rsidP="00C92196">
            <w:pPr>
              <w:jc w:val="both"/>
              <w:rPr>
                <w:rFonts w:asciiTheme="majorHAnsi" w:hAnsiTheme="majorHAnsi" w:cs="Arial"/>
              </w:rPr>
            </w:pPr>
            <w:r w:rsidRPr="00E34CEE">
              <w:rPr>
                <w:rFonts w:asciiTheme="majorHAnsi" w:hAnsiTheme="majorHAnsi" w:cs="Arial"/>
              </w:rPr>
              <w:t>.5 Any other details</w:t>
            </w: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813432" w:rsidRPr="00E34CEE" w:rsidRDefault="00813432"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tc>
        <w:tc>
          <w:tcPr>
            <w:tcW w:w="4817" w:type="dxa"/>
          </w:tcPr>
          <w:p w:rsidR="0047687D" w:rsidRPr="0047687D" w:rsidRDefault="001057BB" w:rsidP="00772C27">
            <w:pPr>
              <w:jc w:val="both"/>
              <w:rPr>
                <w:rFonts w:asciiTheme="majorHAnsi" w:hAnsiTheme="majorHAnsi" w:cs="Arial"/>
              </w:rPr>
            </w:pPr>
            <w:r>
              <w:rPr>
                <w:rFonts w:asciiTheme="majorHAnsi" w:hAnsiTheme="majorHAnsi" w:cs="Arial"/>
              </w:rPr>
              <w:t>JD Attached</w:t>
            </w:r>
          </w:p>
        </w:tc>
      </w:tr>
    </w:tbl>
    <w:p w:rsidR="006B6D8A" w:rsidRPr="00E34CEE" w:rsidRDefault="006B6D8A" w:rsidP="00C92196">
      <w:pPr>
        <w:jc w:val="both"/>
        <w:rPr>
          <w:rFonts w:asciiTheme="majorHAnsi" w:hAnsiTheme="majorHAnsi" w:cs="Arial"/>
        </w:rPr>
      </w:pPr>
    </w:p>
    <w:p w:rsidR="006B6D8A" w:rsidRPr="00E34CEE" w:rsidRDefault="006B6D8A" w:rsidP="00C92196">
      <w:pPr>
        <w:jc w:val="both"/>
        <w:rPr>
          <w:rFonts w:asciiTheme="majorHAnsi" w:hAnsiTheme="majorHAnsi" w:cs="Arial"/>
        </w:rPr>
      </w:pPr>
    </w:p>
    <w:p w:rsidR="006B6D8A" w:rsidRDefault="00813432" w:rsidP="006B6D8A">
      <w:pPr>
        <w:jc w:val="center"/>
        <w:rPr>
          <w:rFonts w:asciiTheme="majorHAnsi" w:hAnsiTheme="majorHAnsi" w:cs="Arial"/>
        </w:rPr>
      </w:pPr>
      <w:r w:rsidRPr="00E34CEE">
        <w:rPr>
          <w:rFonts w:asciiTheme="majorHAnsi" w:hAnsiTheme="majorHAnsi" w:cs="Arial"/>
        </w:rPr>
        <w:t>********************</w:t>
      </w:r>
    </w:p>
    <w:p w:rsidR="00FF307F" w:rsidRDefault="00FF307F" w:rsidP="006B6D8A">
      <w:pPr>
        <w:jc w:val="center"/>
        <w:rPr>
          <w:rFonts w:asciiTheme="majorHAnsi" w:hAnsiTheme="majorHAnsi" w:cs="Arial"/>
        </w:rPr>
      </w:pPr>
    </w:p>
    <w:p w:rsidR="00FF307F" w:rsidRDefault="00FF307F" w:rsidP="006B6D8A">
      <w:pPr>
        <w:jc w:val="center"/>
        <w:rPr>
          <w:rFonts w:asciiTheme="majorHAnsi" w:hAnsiTheme="majorHAnsi" w:cs="Arial"/>
        </w:rPr>
      </w:pPr>
    </w:p>
    <w:p w:rsidR="00FF307F" w:rsidRDefault="00FF307F" w:rsidP="006B6D8A">
      <w:pPr>
        <w:jc w:val="center"/>
        <w:rPr>
          <w:rFonts w:asciiTheme="majorHAnsi" w:hAnsiTheme="majorHAnsi" w:cs="Arial"/>
        </w:rPr>
      </w:pPr>
    </w:p>
    <w:p w:rsidR="00FF307F" w:rsidRDefault="00FF307F" w:rsidP="006B6D8A">
      <w:pPr>
        <w:jc w:val="center"/>
        <w:rPr>
          <w:rFonts w:asciiTheme="majorHAnsi" w:hAnsiTheme="majorHAnsi" w:cs="Arial"/>
        </w:rPr>
      </w:pPr>
    </w:p>
    <w:p w:rsidR="00FF307F" w:rsidRDefault="00FF307F" w:rsidP="00FF307F">
      <w:pPr>
        <w:rPr>
          <w:lang w:val="en-IN"/>
        </w:rPr>
      </w:pPr>
      <w:r>
        <w:rPr>
          <w:lang w:val="en-IN"/>
        </w:rPr>
        <w:t xml:space="preserve">For </w:t>
      </w:r>
      <w:r>
        <w:rPr>
          <w:b/>
          <w:bCs/>
          <w:lang w:val="en-IN"/>
        </w:rPr>
        <w:t>Executive/ Senior Executive</w:t>
      </w:r>
      <w:r>
        <w:rPr>
          <w:lang w:val="en-IN"/>
        </w:rPr>
        <w:t xml:space="preserve"> please concentrate on below JD and other relevant data. </w:t>
      </w:r>
    </w:p>
    <w:p w:rsidR="00FF307F" w:rsidRDefault="00FF307F" w:rsidP="00FF307F">
      <w:pPr>
        <w:rPr>
          <w:lang w:val="en-IN"/>
        </w:rPr>
      </w:pPr>
    </w:p>
    <w:p w:rsidR="00FF307F" w:rsidRDefault="00FF307F" w:rsidP="00FF307F">
      <w:pPr>
        <w:numPr>
          <w:ilvl w:val="0"/>
          <w:numId w:val="3"/>
        </w:numPr>
        <w:spacing w:after="0" w:line="240" w:lineRule="auto"/>
        <w:jc w:val="both"/>
        <w:rPr>
          <w:rFonts w:eastAsia="Times New Roman"/>
          <w:lang w:val="en-IN"/>
        </w:rPr>
      </w:pPr>
      <w:r>
        <w:rPr>
          <w:rFonts w:eastAsia="Times New Roman"/>
          <w:lang w:val="en-IN"/>
        </w:rPr>
        <w:t xml:space="preserve">Handles liability claims from start to finish, verifying and collating information and relevant documents on submitted claims, reviewing &amp; analysing the terms &amp; conditions of contract to determine which charges are eligible for compensate, reconciling customers estimates, negotiating payment with all parties and following up to ensure that payments are made for meritorious claims. Specialist need to do critical thinking and decision-making based on merit of the claim through land of laws, international conventions, logic and reasoning to evaluate and resolve claims. Specialist is to be considered as a “SME” and one of the main role for a Specialist is to mitigate and prevent loss. </w:t>
      </w:r>
    </w:p>
    <w:p w:rsidR="00FF307F" w:rsidRDefault="00FF307F" w:rsidP="00FF307F">
      <w:pPr>
        <w:numPr>
          <w:ilvl w:val="0"/>
          <w:numId w:val="3"/>
        </w:numPr>
        <w:spacing w:after="0" w:line="240" w:lineRule="auto"/>
        <w:rPr>
          <w:rFonts w:eastAsia="Times New Roman"/>
          <w:u w:val="single"/>
          <w:lang w:val="en-IN"/>
        </w:rPr>
      </w:pPr>
      <w:r>
        <w:rPr>
          <w:rFonts w:eastAsia="Times New Roman"/>
          <w:u w:val="single"/>
          <w:lang w:val="en-IN"/>
        </w:rPr>
        <w:t>Relevant Experience:</w:t>
      </w:r>
    </w:p>
    <w:p w:rsidR="00FF307F" w:rsidRDefault="00FF307F" w:rsidP="00FF307F">
      <w:pPr>
        <w:numPr>
          <w:ilvl w:val="1"/>
          <w:numId w:val="4"/>
        </w:numPr>
        <w:spacing w:after="0" w:line="240" w:lineRule="auto"/>
        <w:rPr>
          <w:rFonts w:eastAsia="Times New Roman"/>
          <w:lang w:val="en-IN"/>
        </w:rPr>
      </w:pPr>
      <w:r>
        <w:rPr>
          <w:rFonts w:eastAsia="Times New Roman"/>
          <w:u w:val="single"/>
          <w:lang w:val="en-IN"/>
        </w:rPr>
        <w:t>Experienced</w:t>
      </w:r>
      <w:r>
        <w:rPr>
          <w:rFonts w:eastAsia="Times New Roman"/>
          <w:lang w:val="en-IN"/>
        </w:rPr>
        <w:t xml:space="preserve">: </w:t>
      </w:r>
    </w:p>
    <w:p w:rsidR="00FF307F" w:rsidRDefault="00FF307F" w:rsidP="00FF307F">
      <w:pPr>
        <w:pStyle w:val="ListParagraph"/>
        <w:ind w:left="2160" w:hanging="180"/>
        <w:rPr>
          <w:lang w:val="en-IN"/>
        </w:rPr>
      </w:pPr>
      <w:r>
        <w:rPr>
          <w:rFonts w:ascii="Times New Roman" w:hAnsi="Times New Roman"/>
          <w:sz w:val="14"/>
          <w:szCs w:val="14"/>
          <w:lang w:val="en-IN"/>
        </w:rPr>
        <w:t xml:space="preserve">                                                               </w:t>
      </w:r>
      <w:r>
        <w:rPr>
          <w:lang w:val="en-IN"/>
        </w:rPr>
        <w:t>i.</w:t>
      </w:r>
      <w:r>
        <w:rPr>
          <w:rFonts w:ascii="Times New Roman" w:hAnsi="Times New Roman"/>
          <w:sz w:val="14"/>
          <w:szCs w:val="14"/>
          <w:lang w:val="en-IN"/>
        </w:rPr>
        <w:t xml:space="preserve">      </w:t>
      </w:r>
      <w:r>
        <w:rPr>
          <w:u w:val="single"/>
          <w:lang w:val="en-IN"/>
        </w:rPr>
        <w:t>General Qualification</w:t>
      </w:r>
      <w:r>
        <w:rPr>
          <w:lang w:val="en-IN"/>
        </w:rPr>
        <w:t>: In 4 years of Cargo Claims Experience in containerised cargo claims, with advanced communication skills (written and oratory)</w:t>
      </w:r>
    </w:p>
    <w:p w:rsidR="00FF307F" w:rsidRDefault="00FF307F" w:rsidP="00FF307F">
      <w:pPr>
        <w:pStyle w:val="ListParagraph"/>
        <w:ind w:left="2160"/>
        <w:rPr>
          <w:lang w:val="en-IN"/>
        </w:rPr>
      </w:pPr>
      <w:r>
        <w:rPr>
          <w:u w:val="single"/>
          <w:lang w:val="en-IN"/>
        </w:rPr>
        <w:t>OR</w:t>
      </w:r>
    </w:p>
    <w:p w:rsidR="00FF307F" w:rsidRDefault="00FF307F" w:rsidP="00FF307F">
      <w:pPr>
        <w:pStyle w:val="ListParagraph"/>
        <w:ind w:left="2160" w:hanging="180"/>
        <w:rPr>
          <w:lang w:val="en-IN"/>
        </w:rPr>
      </w:pPr>
      <w:r>
        <w:rPr>
          <w:rFonts w:ascii="Times New Roman" w:hAnsi="Times New Roman"/>
          <w:sz w:val="14"/>
          <w:szCs w:val="14"/>
          <w:lang w:val="en-IN"/>
        </w:rPr>
        <w:t xml:space="preserve">                                                             </w:t>
      </w:r>
      <w:r>
        <w:rPr>
          <w:lang w:val="en-IN"/>
        </w:rPr>
        <w:t>ii.</w:t>
      </w:r>
      <w:r>
        <w:rPr>
          <w:rFonts w:ascii="Times New Roman" w:hAnsi="Times New Roman"/>
          <w:sz w:val="14"/>
          <w:szCs w:val="14"/>
          <w:lang w:val="en-IN"/>
        </w:rPr>
        <w:t xml:space="preserve">      </w:t>
      </w:r>
      <w:r>
        <w:rPr>
          <w:u w:val="single"/>
          <w:lang w:val="en-IN"/>
        </w:rPr>
        <w:t>Professional Qualification:</w:t>
      </w:r>
      <w:r>
        <w:rPr>
          <w:lang w:val="en-IN"/>
        </w:rPr>
        <w:t xml:space="preserve"> LLB/MBA with a minimum of 2 year of shipping experience with legal or advanced communication skills (written and oratory)</w:t>
      </w:r>
    </w:p>
    <w:p w:rsidR="00FF307F" w:rsidRDefault="00FF307F" w:rsidP="00FF307F">
      <w:pPr>
        <w:numPr>
          <w:ilvl w:val="1"/>
          <w:numId w:val="5"/>
        </w:numPr>
        <w:spacing w:after="0" w:line="240" w:lineRule="auto"/>
        <w:rPr>
          <w:rFonts w:eastAsia="Times New Roman"/>
          <w:lang w:val="en-IN"/>
        </w:rPr>
      </w:pPr>
      <w:r>
        <w:rPr>
          <w:rFonts w:eastAsia="Times New Roman"/>
          <w:u w:val="single"/>
          <w:lang w:val="en-IN"/>
        </w:rPr>
        <w:t>Fresher</w:t>
      </w:r>
      <w:r>
        <w:rPr>
          <w:rFonts w:eastAsia="Times New Roman"/>
          <w:lang w:val="en-IN"/>
        </w:rPr>
        <w:t xml:space="preserve">: </w:t>
      </w:r>
      <w:r>
        <w:rPr>
          <w:rFonts w:eastAsia="Times New Roman"/>
          <w:i/>
          <w:iCs/>
          <w:lang w:val="en-IN"/>
        </w:rPr>
        <w:t xml:space="preserve">NO FRESHER FOR THIS POSITION. </w:t>
      </w:r>
    </w:p>
    <w:p w:rsidR="00FF307F" w:rsidRDefault="00FF307F" w:rsidP="00FF307F">
      <w:pPr>
        <w:pStyle w:val="ListParagraph"/>
        <w:ind w:left="1440"/>
        <w:rPr>
          <w:lang w:val="en-IN"/>
        </w:rPr>
      </w:pPr>
    </w:p>
    <w:p w:rsidR="00FF307F" w:rsidRDefault="00FF307F" w:rsidP="00FF307F">
      <w:pPr>
        <w:numPr>
          <w:ilvl w:val="0"/>
          <w:numId w:val="6"/>
        </w:numPr>
        <w:spacing w:after="0" w:line="240" w:lineRule="auto"/>
        <w:rPr>
          <w:rFonts w:eastAsia="Times New Roman"/>
          <w:u w:val="single"/>
          <w:lang w:val="en-IN"/>
        </w:rPr>
      </w:pPr>
      <w:r>
        <w:rPr>
          <w:rFonts w:eastAsia="Times New Roman"/>
          <w:u w:val="single"/>
          <w:lang w:val="en-IN"/>
        </w:rPr>
        <w:t>Job Description:</w:t>
      </w:r>
    </w:p>
    <w:p w:rsidR="00FF307F" w:rsidRDefault="00FF307F" w:rsidP="00FF307F">
      <w:pPr>
        <w:numPr>
          <w:ilvl w:val="1"/>
          <w:numId w:val="7"/>
        </w:numPr>
        <w:spacing w:after="0" w:line="240" w:lineRule="auto"/>
        <w:rPr>
          <w:rFonts w:eastAsia="Times New Roman"/>
          <w:lang w:val="en-IN"/>
        </w:rPr>
      </w:pPr>
      <w:r>
        <w:rPr>
          <w:rFonts w:eastAsia="Times New Roman"/>
          <w:lang w:val="en-IN"/>
        </w:rPr>
        <w:t>Guiding stakeholders on how to proceed with the claim;</w:t>
      </w:r>
    </w:p>
    <w:p w:rsidR="00FF307F" w:rsidRDefault="00FF307F" w:rsidP="00FF307F">
      <w:pPr>
        <w:numPr>
          <w:ilvl w:val="1"/>
          <w:numId w:val="7"/>
        </w:numPr>
        <w:spacing w:after="0" w:line="240" w:lineRule="auto"/>
        <w:rPr>
          <w:rFonts w:eastAsia="Times New Roman"/>
          <w:lang w:val="en-IN"/>
        </w:rPr>
      </w:pPr>
      <w:r>
        <w:rPr>
          <w:rFonts w:eastAsia="Times New Roman"/>
          <w:lang w:val="en-IN"/>
        </w:rPr>
        <w:t>Monitoring the progress of a claim;</w:t>
      </w:r>
    </w:p>
    <w:p w:rsidR="00FF307F" w:rsidRDefault="00FF307F" w:rsidP="00FF307F">
      <w:pPr>
        <w:numPr>
          <w:ilvl w:val="1"/>
          <w:numId w:val="7"/>
        </w:numPr>
        <w:spacing w:after="0" w:line="240" w:lineRule="auto"/>
        <w:rPr>
          <w:rFonts w:eastAsia="Times New Roman"/>
          <w:lang w:val="en-IN"/>
        </w:rPr>
      </w:pPr>
      <w:r>
        <w:rPr>
          <w:rFonts w:eastAsia="Times New Roman"/>
          <w:lang w:val="en-IN"/>
        </w:rPr>
        <w:t>Ensuring fair settlement of a valid claim;</w:t>
      </w:r>
    </w:p>
    <w:p w:rsidR="00FF307F" w:rsidRDefault="00FF307F" w:rsidP="00FF307F">
      <w:pPr>
        <w:numPr>
          <w:ilvl w:val="1"/>
          <w:numId w:val="7"/>
        </w:numPr>
        <w:spacing w:after="0" w:line="240" w:lineRule="auto"/>
        <w:rPr>
          <w:rFonts w:eastAsia="Times New Roman"/>
          <w:lang w:val="en-IN"/>
        </w:rPr>
      </w:pPr>
      <w:r>
        <w:rPr>
          <w:rFonts w:eastAsia="Times New Roman"/>
          <w:lang w:val="en-IN"/>
        </w:rPr>
        <w:t>Building relationships with agencies, insurers, local correspondents, solicitors, as well as other legal/claims professionals;</w:t>
      </w:r>
    </w:p>
    <w:p w:rsidR="00FF307F" w:rsidRDefault="00FF307F" w:rsidP="00FF307F">
      <w:pPr>
        <w:numPr>
          <w:ilvl w:val="1"/>
          <w:numId w:val="7"/>
        </w:numPr>
        <w:spacing w:after="0" w:line="240" w:lineRule="auto"/>
        <w:rPr>
          <w:rFonts w:eastAsia="Times New Roman"/>
          <w:lang w:val="en-IN"/>
        </w:rPr>
      </w:pPr>
      <w:r>
        <w:rPr>
          <w:rFonts w:eastAsia="Times New Roman"/>
          <w:lang w:val="en-IN"/>
        </w:rPr>
        <w:t>Ensuring the customer is treated fairly and that the customer receives excellent service in accordance with industry and company guidelines;</w:t>
      </w:r>
    </w:p>
    <w:p w:rsidR="00FF307F" w:rsidRDefault="00FF307F" w:rsidP="00FF307F">
      <w:pPr>
        <w:numPr>
          <w:ilvl w:val="1"/>
          <w:numId w:val="7"/>
        </w:numPr>
        <w:spacing w:after="0" w:line="240" w:lineRule="auto"/>
        <w:rPr>
          <w:rFonts w:eastAsia="Times New Roman"/>
          <w:lang w:val="en-IN"/>
        </w:rPr>
      </w:pPr>
      <w:r>
        <w:rPr>
          <w:rFonts w:eastAsia="Times New Roman"/>
          <w:lang w:val="en-IN"/>
        </w:rPr>
        <w:t>Handling any complaints associated with a claim;</w:t>
      </w:r>
    </w:p>
    <w:p w:rsidR="00FF307F" w:rsidRDefault="00FF307F" w:rsidP="00FF307F">
      <w:pPr>
        <w:numPr>
          <w:ilvl w:val="1"/>
          <w:numId w:val="7"/>
        </w:numPr>
        <w:spacing w:after="0" w:line="240" w:lineRule="auto"/>
        <w:rPr>
          <w:rFonts w:eastAsia="Times New Roman"/>
          <w:lang w:val="en-IN"/>
        </w:rPr>
      </w:pPr>
      <w:r>
        <w:rPr>
          <w:rFonts w:eastAsia="Times New Roman"/>
          <w:lang w:val="en-IN"/>
        </w:rPr>
        <w:t>Involvement in legal discussions relating to settlement;</w:t>
      </w:r>
    </w:p>
    <w:p w:rsidR="00FF307F" w:rsidRDefault="00FF307F" w:rsidP="00FF307F">
      <w:pPr>
        <w:numPr>
          <w:ilvl w:val="1"/>
          <w:numId w:val="7"/>
        </w:numPr>
        <w:spacing w:after="0" w:line="240" w:lineRule="auto"/>
        <w:rPr>
          <w:rFonts w:eastAsia="Times New Roman"/>
          <w:lang w:val="en-IN"/>
        </w:rPr>
      </w:pPr>
      <w:r>
        <w:rPr>
          <w:rFonts w:eastAsia="Times New Roman"/>
          <w:lang w:val="en-IN"/>
        </w:rPr>
        <w:t>Processing new claims and notifications;</w:t>
      </w:r>
    </w:p>
    <w:p w:rsidR="00FF307F" w:rsidRDefault="00FF307F" w:rsidP="00FF307F">
      <w:pPr>
        <w:numPr>
          <w:ilvl w:val="1"/>
          <w:numId w:val="7"/>
        </w:numPr>
        <w:spacing w:after="0" w:line="240" w:lineRule="auto"/>
        <w:rPr>
          <w:rFonts w:eastAsia="Times New Roman"/>
          <w:lang w:val="en-IN"/>
        </w:rPr>
      </w:pPr>
      <w:r>
        <w:rPr>
          <w:rFonts w:eastAsia="Times New Roman"/>
          <w:lang w:val="en-IN"/>
        </w:rPr>
        <w:t>Collecting accurate information and documents to proceed with a claim;</w:t>
      </w:r>
    </w:p>
    <w:p w:rsidR="00FF307F" w:rsidRDefault="00FF307F" w:rsidP="00FF307F">
      <w:pPr>
        <w:numPr>
          <w:ilvl w:val="1"/>
          <w:numId w:val="7"/>
        </w:numPr>
        <w:spacing w:after="0" w:line="240" w:lineRule="auto"/>
        <w:rPr>
          <w:rFonts w:eastAsia="Times New Roman"/>
          <w:lang w:val="en-IN"/>
        </w:rPr>
      </w:pPr>
      <w:r>
        <w:rPr>
          <w:rFonts w:eastAsia="Times New Roman"/>
          <w:lang w:val="en-IN"/>
        </w:rPr>
        <w:t>Investigating and Analysing the claim</w:t>
      </w:r>
    </w:p>
    <w:p w:rsidR="00FF307F" w:rsidRDefault="00FF307F" w:rsidP="00FF307F">
      <w:pPr>
        <w:numPr>
          <w:ilvl w:val="1"/>
          <w:numId w:val="7"/>
        </w:numPr>
        <w:spacing w:after="0" w:line="240" w:lineRule="auto"/>
        <w:rPr>
          <w:rFonts w:eastAsia="Times New Roman"/>
          <w:lang w:val="en-IN"/>
        </w:rPr>
      </w:pPr>
      <w:r>
        <w:rPr>
          <w:rFonts w:eastAsia="Times New Roman"/>
          <w:lang w:val="en-IN"/>
        </w:rPr>
        <w:t xml:space="preserve">Building defenses and negotiations with the claimants </w:t>
      </w:r>
    </w:p>
    <w:p w:rsidR="00FF307F" w:rsidRDefault="00FF307F" w:rsidP="00FF307F">
      <w:pPr>
        <w:numPr>
          <w:ilvl w:val="1"/>
          <w:numId w:val="7"/>
        </w:numPr>
        <w:spacing w:after="0" w:line="240" w:lineRule="auto"/>
        <w:rPr>
          <w:rFonts w:eastAsia="Times New Roman"/>
          <w:lang w:val="en-IN"/>
        </w:rPr>
      </w:pPr>
      <w:r>
        <w:rPr>
          <w:rFonts w:eastAsia="Times New Roman"/>
          <w:lang w:val="en-IN"/>
        </w:rPr>
        <w:t>Contacting claimants, third party, insurance and other parties involved</w:t>
      </w:r>
    </w:p>
    <w:p w:rsidR="00FF307F" w:rsidRDefault="00FF307F" w:rsidP="00FF307F">
      <w:pPr>
        <w:numPr>
          <w:ilvl w:val="1"/>
          <w:numId w:val="7"/>
        </w:numPr>
        <w:spacing w:after="0" w:line="240" w:lineRule="auto"/>
        <w:rPr>
          <w:rFonts w:eastAsia="Times New Roman"/>
          <w:lang w:val="en-IN"/>
        </w:rPr>
      </w:pPr>
      <w:r>
        <w:rPr>
          <w:rFonts w:eastAsia="Times New Roman"/>
          <w:lang w:val="en-IN"/>
        </w:rPr>
        <w:t>Seeking legal recovery of monies paid out;</w:t>
      </w:r>
    </w:p>
    <w:p w:rsidR="00FF307F" w:rsidRDefault="00FF307F" w:rsidP="00FF307F">
      <w:pPr>
        <w:numPr>
          <w:ilvl w:val="1"/>
          <w:numId w:val="7"/>
        </w:numPr>
        <w:spacing w:after="0" w:line="240" w:lineRule="auto"/>
        <w:rPr>
          <w:rFonts w:eastAsia="Times New Roman"/>
          <w:lang w:val="en-IN"/>
        </w:rPr>
      </w:pPr>
      <w:r>
        <w:rPr>
          <w:rFonts w:eastAsia="Times New Roman"/>
          <w:lang w:val="en-IN"/>
        </w:rPr>
        <w:t>Auditing of files</w:t>
      </w:r>
    </w:p>
    <w:p w:rsidR="00FF307F" w:rsidRDefault="00FF307F" w:rsidP="00FF307F">
      <w:pPr>
        <w:numPr>
          <w:ilvl w:val="0"/>
          <w:numId w:val="8"/>
        </w:numPr>
        <w:spacing w:after="0" w:line="240" w:lineRule="auto"/>
        <w:rPr>
          <w:rFonts w:eastAsia="Times New Roman"/>
          <w:lang w:val="en-IN"/>
        </w:rPr>
      </w:pPr>
      <w:r>
        <w:rPr>
          <w:rFonts w:eastAsia="Times New Roman"/>
          <w:u w:val="single"/>
          <w:lang w:val="en-IN"/>
        </w:rPr>
        <w:t>KPI</w:t>
      </w:r>
    </w:p>
    <w:p w:rsidR="00FF307F" w:rsidRDefault="00FF307F" w:rsidP="00FF307F">
      <w:pPr>
        <w:numPr>
          <w:ilvl w:val="1"/>
          <w:numId w:val="9"/>
        </w:numPr>
        <w:spacing w:after="0" w:line="240" w:lineRule="auto"/>
        <w:rPr>
          <w:rFonts w:eastAsia="Times New Roman"/>
          <w:lang w:val="en-IN"/>
        </w:rPr>
      </w:pPr>
      <w:r>
        <w:rPr>
          <w:rFonts w:eastAsia="Times New Roman"/>
          <w:lang w:val="en-IN"/>
        </w:rPr>
        <w:t xml:space="preserve">Settlement Ratio </w:t>
      </w:r>
    </w:p>
    <w:p w:rsidR="00FF307F" w:rsidRDefault="00FF307F" w:rsidP="00FF307F">
      <w:pPr>
        <w:numPr>
          <w:ilvl w:val="1"/>
          <w:numId w:val="9"/>
        </w:numPr>
        <w:spacing w:after="0" w:line="240" w:lineRule="auto"/>
        <w:rPr>
          <w:rFonts w:eastAsia="Times New Roman"/>
          <w:lang w:val="en-IN"/>
        </w:rPr>
      </w:pPr>
      <w:r>
        <w:rPr>
          <w:rFonts w:eastAsia="Times New Roman"/>
          <w:lang w:val="en-IN"/>
        </w:rPr>
        <w:t>Recovery Ratio</w:t>
      </w:r>
    </w:p>
    <w:p w:rsidR="00FF307F" w:rsidRDefault="00FF307F" w:rsidP="00FF307F">
      <w:pPr>
        <w:numPr>
          <w:ilvl w:val="1"/>
          <w:numId w:val="9"/>
        </w:numPr>
        <w:spacing w:after="0" w:line="240" w:lineRule="auto"/>
        <w:rPr>
          <w:rFonts w:eastAsia="Times New Roman"/>
          <w:lang w:val="en-IN"/>
        </w:rPr>
      </w:pPr>
      <w:r>
        <w:rPr>
          <w:rFonts w:eastAsia="Times New Roman"/>
          <w:lang w:val="en-IN"/>
        </w:rPr>
        <w:t>Rejection Ratio</w:t>
      </w:r>
    </w:p>
    <w:p w:rsidR="00FF307F" w:rsidRDefault="00FF307F" w:rsidP="00FF307F">
      <w:pPr>
        <w:numPr>
          <w:ilvl w:val="1"/>
          <w:numId w:val="9"/>
        </w:numPr>
        <w:spacing w:after="0" w:line="240" w:lineRule="auto"/>
        <w:rPr>
          <w:rFonts w:eastAsia="Times New Roman"/>
          <w:lang w:val="en-IN"/>
        </w:rPr>
      </w:pPr>
      <w:r>
        <w:rPr>
          <w:rFonts w:eastAsia="Times New Roman"/>
          <w:lang w:val="en-IN"/>
        </w:rPr>
        <w:t xml:space="preserve">Cross Functionality </w:t>
      </w:r>
    </w:p>
    <w:p w:rsidR="00FF307F" w:rsidRDefault="00FF307F" w:rsidP="00FF307F">
      <w:pPr>
        <w:numPr>
          <w:ilvl w:val="1"/>
          <w:numId w:val="9"/>
        </w:numPr>
        <w:spacing w:after="0" w:line="240" w:lineRule="auto"/>
        <w:rPr>
          <w:rFonts w:eastAsia="Times New Roman"/>
          <w:b/>
          <w:bCs/>
          <w:u w:val="single"/>
          <w:lang w:val="en-IN"/>
        </w:rPr>
      </w:pPr>
      <w:r>
        <w:rPr>
          <w:rFonts w:eastAsia="Times New Roman"/>
          <w:lang w:val="en-IN"/>
        </w:rPr>
        <w:t>Settlement Level Guidelines</w:t>
      </w:r>
    </w:p>
    <w:p w:rsidR="00FF307F" w:rsidRDefault="00FF307F" w:rsidP="00FF307F">
      <w:pPr>
        <w:numPr>
          <w:ilvl w:val="1"/>
          <w:numId w:val="9"/>
        </w:numPr>
        <w:spacing w:after="0" w:line="240" w:lineRule="auto"/>
        <w:rPr>
          <w:rFonts w:eastAsia="Times New Roman"/>
          <w:lang w:val="en-IN"/>
        </w:rPr>
      </w:pPr>
      <w:r>
        <w:rPr>
          <w:rFonts w:eastAsia="Times New Roman"/>
          <w:lang w:val="en-IN"/>
        </w:rPr>
        <w:t xml:space="preserve">Audit </w:t>
      </w:r>
    </w:p>
    <w:p w:rsidR="00FF307F" w:rsidRDefault="00FF307F" w:rsidP="006B6D8A">
      <w:pPr>
        <w:jc w:val="center"/>
        <w:rPr>
          <w:rFonts w:asciiTheme="majorHAnsi" w:hAnsiTheme="majorHAnsi" w:cs="Arial"/>
        </w:rPr>
      </w:pPr>
    </w:p>
    <w:p w:rsidR="00FF307F" w:rsidRDefault="00FF307F" w:rsidP="006B6D8A">
      <w:pPr>
        <w:jc w:val="center"/>
        <w:rPr>
          <w:rFonts w:asciiTheme="majorHAnsi" w:hAnsiTheme="majorHAnsi" w:cs="Arial"/>
        </w:rPr>
      </w:pPr>
    </w:p>
    <w:p w:rsidR="00FF307F" w:rsidRDefault="00FF307F" w:rsidP="006B6D8A">
      <w:pPr>
        <w:jc w:val="center"/>
        <w:rPr>
          <w:rFonts w:asciiTheme="majorHAnsi" w:hAnsiTheme="majorHAnsi" w:cs="Arial"/>
        </w:rPr>
      </w:pPr>
    </w:p>
    <w:p w:rsidR="00FF307F" w:rsidRPr="00E34CEE" w:rsidRDefault="00FF307F" w:rsidP="006B6D8A">
      <w:pPr>
        <w:jc w:val="center"/>
        <w:rPr>
          <w:rFonts w:asciiTheme="majorHAnsi" w:hAnsiTheme="majorHAnsi" w:cs="Arial"/>
        </w:rPr>
      </w:pPr>
    </w:p>
    <w:sectPr w:rsidR="00FF307F" w:rsidRPr="00E34CEE" w:rsidSect="008B742D">
      <w:pgSz w:w="11909" w:h="16834" w:code="9"/>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BD3"/>
    <w:multiLevelType w:val="multilevel"/>
    <w:tmpl w:val="E83CE92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552C34"/>
    <w:multiLevelType w:val="multilevel"/>
    <w:tmpl w:val="1A54722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D865AB"/>
    <w:multiLevelType w:val="multilevel"/>
    <w:tmpl w:val="15F0FE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2F5885"/>
    <w:multiLevelType w:val="multilevel"/>
    <w:tmpl w:val="49325DF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7C56FD"/>
    <w:multiLevelType w:val="multilevel"/>
    <w:tmpl w:val="BBA4F7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B029FD"/>
    <w:multiLevelType w:val="multilevel"/>
    <w:tmpl w:val="24649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2F6695"/>
    <w:multiLevelType w:val="multilevel"/>
    <w:tmpl w:val="7C8430A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521510"/>
    <w:multiLevelType w:val="hybridMultilevel"/>
    <w:tmpl w:val="76AC339E"/>
    <w:lvl w:ilvl="0" w:tplc="38046D8E">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34064"/>
    <w:multiLevelType w:val="hybridMultilevel"/>
    <w:tmpl w:val="96EA3E00"/>
    <w:lvl w:ilvl="0" w:tplc="E6ECA92C">
      <w:start w:val="1"/>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7710"/>
    <w:rsid w:val="000E68E7"/>
    <w:rsid w:val="001057BB"/>
    <w:rsid w:val="00156E96"/>
    <w:rsid w:val="00191075"/>
    <w:rsid w:val="002E67DA"/>
    <w:rsid w:val="00327710"/>
    <w:rsid w:val="00420F73"/>
    <w:rsid w:val="0047687D"/>
    <w:rsid w:val="004E2133"/>
    <w:rsid w:val="0063169B"/>
    <w:rsid w:val="00641602"/>
    <w:rsid w:val="00652145"/>
    <w:rsid w:val="006B6D8A"/>
    <w:rsid w:val="006D614B"/>
    <w:rsid w:val="00772C27"/>
    <w:rsid w:val="00813432"/>
    <w:rsid w:val="008B742D"/>
    <w:rsid w:val="008D1322"/>
    <w:rsid w:val="008F506B"/>
    <w:rsid w:val="00A439B8"/>
    <w:rsid w:val="00A52EEA"/>
    <w:rsid w:val="00A6164F"/>
    <w:rsid w:val="00B2387B"/>
    <w:rsid w:val="00B678D4"/>
    <w:rsid w:val="00C92196"/>
    <w:rsid w:val="00DB120F"/>
    <w:rsid w:val="00E34CEE"/>
    <w:rsid w:val="00FB34E9"/>
    <w:rsid w:val="00FD68FA"/>
    <w:rsid w:val="00FF3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34CEE"/>
    <w:rPr>
      <w:color w:val="0000FF"/>
      <w:u w:val="single"/>
    </w:rPr>
  </w:style>
  <w:style w:type="paragraph" w:styleId="ListParagraph">
    <w:name w:val="List Paragraph"/>
    <w:basedOn w:val="Normal"/>
    <w:uiPriority w:val="34"/>
    <w:qFormat/>
    <w:rsid w:val="00E34CEE"/>
    <w:pPr>
      <w:spacing w:after="0" w:line="240" w:lineRule="auto"/>
      <w:ind w:left="720"/>
    </w:pPr>
    <w:rPr>
      <w:rFonts w:ascii="Calibri" w:hAnsi="Calibri" w:cs="Times New Roman"/>
    </w:rPr>
  </w:style>
  <w:style w:type="character" w:customStyle="1" w:styleId="UnresolvedMention">
    <w:name w:val="Unresolved Mention"/>
    <w:basedOn w:val="DefaultParagraphFont"/>
    <w:uiPriority w:val="99"/>
    <w:semiHidden/>
    <w:unhideWhenUsed/>
    <w:rsid w:val="001057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5188496">
      <w:bodyDiv w:val="1"/>
      <w:marLeft w:val="0"/>
      <w:marRight w:val="0"/>
      <w:marTop w:val="0"/>
      <w:marBottom w:val="0"/>
      <w:divBdr>
        <w:top w:val="none" w:sz="0" w:space="0" w:color="auto"/>
        <w:left w:val="none" w:sz="0" w:space="0" w:color="auto"/>
        <w:bottom w:val="none" w:sz="0" w:space="0" w:color="auto"/>
        <w:right w:val="none" w:sz="0" w:space="0" w:color="auto"/>
      </w:divBdr>
    </w:div>
    <w:div w:id="687878727">
      <w:bodyDiv w:val="1"/>
      <w:marLeft w:val="0"/>
      <w:marRight w:val="0"/>
      <w:marTop w:val="0"/>
      <w:marBottom w:val="0"/>
      <w:divBdr>
        <w:top w:val="none" w:sz="0" w:space="0" w:color="auto"/>
        <w:left w:val="none" w:sz="0" w:space="0" w:color="auto"/>
        <w:bottom w:val="none" w:sz="0" w:space="0" w:color="auto"/>
        <w:right w:val="none" w:sz="0" w:space="0" w:color="auto"/>
      </w:divBdr>
    </w:div>
    <w:div w:id="964972238">
      <w:bodyDiv w:val="1"/>
      <w:marLeft w:val="0"/>
      <w:marRight w:val="0"/>
      <w:marTop w:val="0"/>
      <w:marBottom w:val="0"/>
      <w:divBdr>
        <w:top w:val="none" w:sz="0" w:space="0" w:color="auto"/>
        <w:left w:val="none" w:sz="0" w:space="0" w:color="auto"/>
        <w:bottom w:val="none" w:sz="0" w:space="0" w:color="auto"/>
        <w:right w:val="none" w:sz="0" w:space="0" w:color="auto"/>
      </w:divBdr>
    </w:div>
    <w:div w:id="1886018216">
      <w:bodyDiv w:val="1"/>
      <w:marLeft w:val="0"/>
      <w:marRight w:val="0"/>
      <w:marTop w:val="0"/>
      <w:marBottom w:val="0"/>
      <w:divBdr>
        <w:top w:val="none" w:sz="0" w:space="0" w:color="auto"/>
        <w:left w:val="none" w:sz="0" w:space="0" w:color="auto"/>
        <w:bottom w:val="none" w:sz="0" w:space="0" w:color="auto"/>
        <w:right w:val="none" w:sz="0" w:space="0" w:color="auto"/>
      </w:divBdr>
    </w:div>
    <w:div w:id="1930457312">
      <w:bodyDiv w:val="1"/>
      <w:marLeft w:val="0"/>
      <w:marRight w:val="0"/>
      <w:marTop w:val="0"/>
      <w:marBottom w:val="0"/>
      <w:divBdr>
        <w:top w:val="none" w:sz="0" w:space="0" w:color="auto"/>
        <w:left w:val="none" w:sz="0" w:space="0" w:color="auto"/>
        <w:bottom w:val="none" w:sz="0" w:space="0" w:color="auto"/>
        <w:right w:val="none" w:sz="0" w:space="0" w:color="auto"/>
      </w:divBdr>
    </w:div>
    <w:div w:id="19424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ma-cg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c.uahmed@cma-cgm.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7349-8736-4EF9-B669-A6A04ED7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dcterms:created xsi:type="dcterms:W3CDTF">2020-01-21T12:51:00Z</dcterms:created>
  <dcterms:modified xsi:type="dcterms:W3CDTF">2020-01-21T12:51:00Z</dcterms:modified>
</cp:coreProperties>
</file>